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二手房网签量延续年末行情，新房住宅月度成交量创下五年新高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——2021年1月楼市小结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一、二手房市场概述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（一）年末“翘尾”延续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二手房网签数据分析，2021年1月深圳二手房网签（含自助）8971套，环比2020年12月份，虽下降28.4%，但同比2020年1月份，则上涨6.2%，即便放在二手房较为亢奋的2020年全年，2021年1月份的二手房网签量也不算低位，从趋势上分析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2021年1月份的行情，是2020年年末“翘尾”行情的延续，属于阶段性行情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3118464" behindDoc="1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41910</wp:posOffset>
            </wp:positionV>
            <wp:extent cx="3863975" cy="2093595"/>
            <wp:effectExtent l="0" t="0" r="0" b="1905"/>
            <wp:wrapTight wrapText="bothSides">
              <wp:wrapPolygon>
                <wp:start x="0" y="0"/>
                <wp:lineTo x="0" y="21423"/>
                <wp:lineTo x="21511" y="21423"/>
                <wp:lineTo x="21511" y="0"/>
                <wp:lineTo x="0" y="0"/>
              </wp:wrapPolygon>
            </wp:wrapTight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63975" cy="2093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ind w:firstLine="400" w:firstLineChars="200"/>
        <w:jc w:val="left"/>
        <w:textAlignment w:val="top"/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</w:pP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注：</w:t>
      </w:r>
      <w:r>
        <w:rPr>
          <w:rFonts w:ascii="微软雅黑" w:eastAsia="微软雅黑" w:hAnsiTheme="minorBidi"/>
          <w:b/>
          <w:color w:val="C00000"/>
          <w:kern w:val="24"/>
          <w:sz w:val="20"/>
          <w:szCs w:val="20"/>
        </w:rPr>
        <w:t>本图所示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网签量</w:t>
      </w:r>
      <w:r>
        <w:rPr>
          <w:rFonts w:ascii="微软雅黑" w:eastAsia="微软雅黑" w:hAnsiTheme="minorBidi"/>
          <w:b/>
          <w:color w:val="C00000"/>
          <w:kern w:val="24"/>
          <w:sz w:val="20"/>
          <w:szCs w:val="20"/>
        </w:rPr>
        <w:t>，系指在深圳市房地产信息系统在线签订《深圳市二手房买卖合同》示范文本合同份数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eastAsia="zh-CN"/>
        </w:rPr>
        <w:t>，</w:t>
      </w:r>
      <w:r>
        <w:rPr>
          <w:rFonts w:ascii="微软雅黑" w:eastAsia="微软雅黑" w:hAnsiTheme="minorBidi"/>
          <w:b/>
          <w:color w:val="C00000"/>
          <w:kern w:val="24"/>
          <w:sz w:val="20"/>
          <w:szCs w:val="20"/>
        </w:rPr>
        <w:t>并非最终成交过户套数。</w:t>
      </w:r>
      <w:r>
        <w:rPr>
          <w:rFonts w:hint="eastAsia" w:ascii="微软雅黑" w:eastAsia="微软雅黑" w:hAnsiTheme="minorBidi"/>
          <w:b/>
          <w:color w:val="C00000"/>
          <w:kern w:val="24"/>
          <w:sz w:val="20"/>
          <w:szCs w:val="20"/>
          <w:lang w:val="en-US" w:eastAsia="zh-CN"/>
        </w:rPr>
        <w:t>由于网签数据是依据深圳市房地产信息系统在线签订《深圳市二手房买卖合同》示范文本合同份数统计，相比最终完成成交过户的数据更能体现市场运行态势。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（数据来源：深房中协中介标准指数）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从周走势分析，处新年第四周，市场上风闻调控加码而短暂性的出现了部分购房者“抢闸”交易行为外，1月份的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top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3210624" behindDoc="1" locked="0" layoutInCell="1" allowOverlap="1">
            <wp:simplePos x="0" y="0"/>
            <wp:positionH relativeFrom="column">
              <wp:posOffset>913765</wp:posOffset>
            </wp:positionH>
            <wp:positionV relativeFrom="paragraph">
              <wp:posOffset>332105</wp:posOffset>
            </wp:positionV>
            <wp:extent cx="3633470" cy="1704340"/>
            <wp:effectExtent l="0" t="0" r="5080" b="10160"/>
            <wp:wrapTight wrapText="bothSides">
              <wp:wrapPolygon>
                <wp:start x="0" y="0"/>
                <wp:lineTo x="0" y="21246"/>
                <wp:lineTo x="21517" y="21246"/>
                <wp:lineTo x="21517" y="0"/>
                <wp:lineTo x="0" y="0"/>
              </wp:wrapPolygon>
            </wp:wrapTight>
            <wp:docPr id="7" name="图片 7" descr="QQ截图20210201113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QQ截图202102011133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3347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周网签量走势，基本维持在有限的范围内小幅波动。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0" w:firstLineChars="0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1280" w:firstLineChars="400"/>
        <w:jc w:val="both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（数据来源：深房中协中介标准指数）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（二）东部片区网签占比下滑明显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从1月份各区二手房网签占比数据看，以龙岗、罗湖为代表的东部片区网签占比均出现一定程度的下滑，而相应的是，以南山、宝安为代表的西部片区二手房网签量则有不同程度的上升。对此，深房中协预计，1月份全市二手房网签结构的这一微妙变化，可能在成交价格上会有所反映，即二手房成交均价环比涨幅可能会有所升高，对此，市场也无需过度解读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3119488" behindDoc="1" locked="0" layoutInCell="1" allowOverlap="1">
            <wp:simplePos x="0" y="0"/>
            <wp:positionH relativeFrom="column">
              <wp:posOffset>480060</wp:posOffset>
            </wp:positionH>
            <wp:positionV relativeFrom="paragraph">
              <wp:posOffset>137795</wp:posOffset>
            </wp:positionV>
            <wp:extent cx="4451985" cy="1624965"/>
            <wp:effectExtent l="0" t="0" r="5715" b="13335"/>
            <wp:wrapTight wrapText="bothSides">
              <wp:wrapPolygon>
                <wp:start x="0" y="0"/>
                <wp:lineTo x="0" y="21271"/>
                <wp:lineTo x="21535" y="21271"/>
                <wp:lineTo x="21535" y="0"/>
                <wp:lineTo x="0" y="0"/>
              </wp:wrapPolygon>
            </wp:wrapTight>
            <wp:docPr id="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51985" cy="1624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top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（数据来源：深房中协中介标准指数）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二、新房住宅创下近五年月度成交量新高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据统计，2021年1月，深圳共成交8356套新房住宅，环比上涨57%，创下近五年来新房住宅月度成交量的新高。从走势上分析，自去年715新政后，深圳新房供应力度持续加大，加之新房住宅在税费与价格（部分新盘与周边二手房报价价差较大）优势明显，2020年下半年新房市场持续活跃，2021年的新房市场很大程度是延续了2020年年末的行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3300736" behindDoc="0" locked="0" layoutInCell="1" allowOverlap="1">
            <wp:simplePos x="0" y="0"/>
            <wp:positionH relativeFrom="column">
              <wp:posOffset>777875</wp:posOffset>
            </wp:positionH>
            <wp:positionV relativeFrom="paragraph">
              <wp:posOffset>52070</wp:posOffset>
            </wp:positionV>
            <wp:extent cx="4022725" cy="2123440"/>
            <wp:effectExtent l="4445" t="5080" r="11430" b="5080"/>
            <wp:wrapSquare wrapText="bothSides"/>
            <wp:docPr id="13" name="图表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drawing>
          <wp:anchor distT="0" distB="0" distL="114300" distR="114300" simplePos="0" relativeHeight="254763008" behindDoc="1" locked="0" layoutInCell="1" allowOverlap="1">
            <wp:simplePos x="0" y="0"/>
            <wp:positionH relativeFrom="column">
              <wp:posOffset>787400</wp:posOffset>
            </wp:positionH>
            <wp:positionV relativeFrom="paragraph">
              <wp:posOffset>109855</wp:posOffset>
            </wp:positionV>
            <wp:extent cx="3974465" cy="2070100"/>
            <wp:effectExtent l="5080" t="5080" r="20955" b="20320"/>
            <wp:wrapTight wrapText="bothSides">
              <wp:wrapPolygon>
                <wp:start x="-28" y="-53"/>
                <wp:lineTo x="-28" y="21414"/>
                <wp:lineTo x="21507" y="21414"/>
                <wp:lineTo x="21507" y="-53"/>
                <wp:lineTo x="-28" y="-53"/>
              </wp:wrapPolygon>
            </wp:wrapTight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（数据来源：深圳市住建局）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三、人员留深致使“节日效应”或将弱于往年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深圳市住建局公布的数据，2021年第一季度全市约有9165套商品住宅入市，其中1月份已预售4685套新房住宅，2月与3月仍将会有4480套房源入市，新房供应端的持续发力，预示着一季度内，新房市场的供需仍将处活跃阶段；而二手房方面，短期内虽受“节日效应”的临近影响，但鉴于目前政府倡导尽量留深过年，导致外出返乡人群不及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往年，或许春节假期期间，看房活动将成为部分留深过年人群的一大选择。因此，今年春节期间的市场行情大概率是要好于往年同期水平。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D965FC"/>
    <w:rsid w:val="06E61E83"/>
    <w:rsid w:val="10960E2A"/>
    <w:rsid w:val="11C95630"/>
    <w:rsid w:val="147D1D40"/>
    <w:rsid w:val="15EA6B36"/>
    <w:rsid w:val="1A4A2B0B"/>
    <w:rsid w:val="1AD93981"/>
    <w:rsid w:val="1C492868"/>
    <w:rsid w:val="204F3A3A"/>
    <w:rsid w:val="242530FE"/>
    <w:rsid w:val="2A98358B"/>
    <w:rsid w:val="343830C4"/>
    <w:rsid w:val="34DD55DC"/>
    <w:rsid w:val="35606D92"/>
    <w:rsid w:val="370C0F67"/>
    <w:rsid w:val="373D0D88"/>
    <w:rsid w:val="3E7E7AD4"/>
    <w:rsid w:val="47E138E4"/>
    <w:rsid w:val="4A4B22E5"/>
    <w:rsid w:val="4A8C2F9F"/>
    <w:rsid w:val="51DD6B9B"/>
    <w:rsid w:val="546371EC"/>
    <w:rsid w:val="580748D6"/>
    <w:rsid w:val="5E692DE0"/>
    <w:rsid w:val="5F321372"/>
    <w:rsid w:val="60495314"/>
    <w:rsid w:val="6ECE2B79"/>
    <w:rsid w:val="70867DC9"/>
    <w:rsid w:val="7217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chart" Target="charts/chart2.xml"/><Relationship Id="rId7" Type="http://schemas.openxmlformats.org/officeDocument/2006/relationships/chart" Target="charts/chart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package" Target="../embeddings/Workbook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altLang="en-US" sz="12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一手住宅月度成交量走势（单位：套）</a:t>
            </a:r>
            <a:endParaRPr altLang="en-US" sz="1200" b="1">
              <a:latin typeface="黑体" panose="02010609060101010101" charset="-122"/>
              <a:ea typeface="黑体" panose="02010609060101010101" charset="-122"/>
              <a:cs typeface="黑体" panose="02010609060101010101" charset="-122"/>
            </a:endParaRPr>
          </a:p>
        </c:rich>
      </c:tx>
      <c:layout>
        <c:manualLayout>
          <c:xMode val="edge"/>
          <c:yMode val="edge"/>
          <c:x val="0.16192138360244"/>
          <c:y val="0.02770446572713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0802063924322775"/>
          <c:y val="0.148367029548989"/>
          <c:w val="0.915493765228608"/>
          <c:h val="0.6138102643856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一手住宅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Sheet1!$A$2:$A$14</c:f>
              <c:numCache>
                <c:formatCode>General</c:formatCode>
                <c:ptCount val="13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  <c:pt idx="10">
                  <c:v>202011</c:v>
                </c:pt>
                <c:pt idx="11">
                  <c:v>202012</c:v>
                </c:pt>
                <c:pt idx="12">
                  <c:v>202101</c:v>
                </c:pt>
              </c:numCache>
            </c:numRef>
          </c:cat>
          <c:val>
            <c:numRef>
              <c:f>Sheet1!$B$2:$B$14</c:f>
              <c:numCache>
                <c:formatCode>General</c:formatCode>
                <c:ptCount val="13"/>
                <c:pt idx="0">
                  <c:v>2813</c:v>
                </c:pt>
                <c:pt idx="1">
                  <c:v>830</c:v>
                </c:pt>
                <c:pt idx="2">
                  <c:v>3152</c:v>
                </c:pt>
                <c:pt idx="3">
                  <c:v>3446</c:v>
                </c:pt>
                <c:pt idx="4">
                  <c:v>3413</c:v>
                </c:pt>
                <c:pt idx="5">
                  <c:v>3343</c:v>
                </c:pt>
                <c:pt idx="6">
                  <c:v>3478</c:v>
                </c:pt>
                <c:pt idx="7">
                  <c:v>4076</c:v>
                </c:pt>
                <c:pt idx="8">
                  <c:v>4871</c:v>
                </c:pt>
                <c:pt idx="9">
                  <c:v>4617</c:v>
                </c:pt>
                <c:pt idx="10">
                  <c:v>6296</c:v>
                </c:pt>
                <c:pt idx="11">
                  <c:v>5319</c:v>
                </c:pt>
                <c:pt idx="12">
                  <c:v>8356</c:v>
                </c:pt>
              </c:numCache>
            </c:numRef>
          </c:val>
        </c:ser>
        <c:ser>
          <c:idx val="1"/>
          <c:order val="1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Sheet1!$A$2:$A$14</c:f>
              <c:numCache>
                <c:formatCode>General</c:formatCode>
                <c:ptCount val="13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  <c:pt idx="10">
                  <c:v>202011</c:v>
                </c:pt>
                <c:pt idx="11">
                  <c:v>202012</c:v>
                </c:pt>
                <c:pt idx="12">
                  <c:v>202101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Sheet1!$A$2:$A$14</c:f>
              <c:numCache>
                <c:formatCode>General</c:formatCode>
                <c:ptCount val="13"/>
                <c:pt idx="0">
                  <c:v>202001</c:v>
                </c:pt>
                <c:pt idx="1">
                  <c:v>202002</c:v>
                </c:pt>
                <c:pt idx="2">
                  <c:v>202003</c:v>
                </c:pt>
                <c:pt idx="3">
                  <c:v>202004</c:v>
                </c:pt>
                <c:pt idx="4">
                  <c:v>202005</c:v>
                </c:pt>
                <c:pt idx="5">
                  <c:v>202006</c:v>
                </c:pt>
                <c:pt idx="6">
                  <c:v>202007</c:v>
                </c:pt>
                <c:pt idx="7">
                  <c:v>202008</c:v>
                </c:pt>
                <c:pt idx="8">
                  <c:v>202009</c:v>
                </c:pt>
                <c:pt idx="9">
                  <c:v>202010</c:v>
                </c:pt>
                <c:pt idx="10">
                  <c:v>202011</c:v>
                </c:pt>
                <c:pt idx="11">
                  <c:v>202012</c:v>
                </c:pt>
                <c:pt idx="12">
                  <c:v>202101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0761452"/>
        <c:axId val="575663679"/>
      </c:barChart>
      <c:catAx>
        <c:axId val="38076145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75663679"/>
        <c:crosses val="autoZero"/>
        <c:auto val="1"/>
        <c:lblAlgn val="ctr"/>
        <c:lblOffset val="100"/>
        <c:noMultiLvlLbl val="0"/>
      </c:catAx>
      <c:valAx>
        <c:axId val="5756636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07614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900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 defTabSz="914400">
              <a:defRPr lang="zh-CN"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altLang="en-US" sz="1200" b="1">
                <a:latin typeface="黑体" panose="02010609060101010101" charset="-122"/>
                <a:ea typeface="黑体" panose="02010609060101010101" charset="-122"/>
                <a:cs typeface="黑体" panose="02010609060101010101" charset="-122"/>
              </a:rPr>
              <a:t>近五年历史同期成交水平（单位：套）</a:t>
            </a:r>
            <a:endParaRPr altLang="en-US" sz="1200" b="1">
              <a:latin typeface="黑体" panose="02010609060101010101" charset="-122"/>
              <a:ea typeface="黑体" panose="02010609060101010101" charset="-122"/>
              <a:cs typeface="黑体" panose="02010609060101010101" charset="-122"/>
            </a:endParaRPr>
          </a:p>
        </c:rich>
      </c:tx>
      <c:layout>
        <c:manualLayout>
          <c:xMode val="edge"/>
          <c:yMode val="edge"/>
          <c:x val="0.180497944098088"/>
          <c:y val="0.0248361304849775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12794729542302"/>
          <c:y val="0.148364107547781"/>
          <c:w val="0.853918169209431"/>
          <c:h val="0.6820213799805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一手住宅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201501</c:v>
                </c:pt>
                <c:pt idx="1">
                  <c:v>201601</c:v>
                </c:pt>
                <c:pt idx="2">
                  <c:v>201701</c:v>
                </c:pt>
                <c:pt idx="3">
                  <c:v>201801</c:v>
                </c:pt>
                <c:pt idx="4">
                  <c:v>201901</c:v>
                </c:pt>
                <c:pt idx="5">
                  <c:v>202001</c:v>
                </c:pt>
                <c:pt idx="6">
                  <c:v>202101</c:v>
                </c:pt>
              </c:numCache>
            </c:numRef>
          </c:cat>
          <c:val>
            <c:numRef>
              <c:f>Sheet1!$B$2:$B$8</c:f>
              <c:numCache>
                <c:formatCode>General</c:formatCode>
                <c:ptCount val="7"/>
                <c:pt idx="0">
                  <c:v>7288</c:v>
                </c:pt>
                <c:pt idx="1">
                  <c:v>5447</c:v>
                </c:pt>
                <c:pt idx="2">
                  <c:v>1652</c:v>
                </c:pt>
                <c:pt idx="3">
                  <c:v>2778</c:v>
                </c:pt>
                <c:pt idx="4">
                  <c:v>2497</c:v>
                </c:pt>
                <c:pt idx="5">
                  <c:v>2813</c:v>
                </c:pt>
                <c:pt idx="6">
                  <c:v>8356</c:v>
                </c:pt>
              </c:numCache>
            </c:numRef>
          </c:val>
        </c:ser>
        <c:ser>
          <c:idx val="1"/>
          <c:order val="1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201501</c:v>
                </c:pt>
                <c:pt idx="1">
                  <c:v>201601</c:v>
                </c:pt>
                <c:pt idx="2">
                  <c:v>201701</c:v>
                </c:pt>
                <c:pt idx="3">
                  <c:v>201801</c:v>
                </c:pt>
                <c:pt idx="4">
                  <c:v>201901</c:v>
                </c:pt>
                <c:pt idx="5">
                  <c:v>202001</c:v>
                </c:pt>
                <c:pt idx="6">
                  <c:v>202101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Sheet1!#REF!</c:f>
              <c:strCache>
                <c:ptCount val="1"/>
                <c:pt idx="0">
                  <c:v/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elete val="1"/>
          </c:dLbls>
          <c:cat>
            <c:numRef>
              <c:f>Sheet1!$A$2:$A$8</c:f>
              <c:numCache>
                <c:formatCode>General</c:formatCode>
                <c:ptCount val="7"/>
                <c:pt idx="0">
                  <c:v>201501</c:v>
                </c:pt>
                <c:pt idx="1">
                  <c:v>201601</c:v>
                </c:pt>
                <c:pt idx="2">
                  <c:v>201701</c:v>
                </c:pt>
                <c:pt idx="3">
                  <c:v>201801</c:v>
                </c:pt>
                <c:pt idx="4">
                  <c:v>201901</c:v>
                </c:pt>
                <c:pt idx="5">
                  <c:v>202001</c:v>
                </c:pt>
                <c:pt idx="6">
                  <c:v>202101</c:v>
                </c:pt>
              </c:numCache>
            </c:numRef>
          </c:cat>
          <c:val>
            <c:numRef>
              <c:f>Sheet1!#REF!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80761452"/>
        <c:axId val="575663679"/>
      </c:barChart>
      <c:catAx>
        <c:axId val="380761452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575663679"/>
        <c:crosses val="autoZero"/>
        <c:auto val="1"/>
        <c:lblAlgn val="ctr"/>
        <c:lblOffset val="100"/>
        <c:noMultiLvlLbl val="0"/>
      </c:catAx>
      <c:valAx>
        <c:axId val="575663679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0" vertOverflow="ellipsis" vert="horz" wrap="square" anchor="ctr" anchorCtr="1"/>
          <a:lstStyle/>
          <a:p>
            <a:pPr>
              <a:defRPr lang="zh-CN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</a:p>
        </c:txPr>
        <c:crossAx val="3807614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lang="zh-CN" sz="900"/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2020-10-29T06:55:00Z</dcterms:created>
  <dc:creator>huah</dc:creator>
  <cp:lastModifiedBy>深房中协—华洪</cp:lastModifiedBy>
  <cp:lastPrinted>2020-10-30T01:24:00Z</cp:lastPrinted>
  <dcterms:modified xsi:type="dcterms:W3CDTF">2021-02-05T05:15:31Z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