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highlight w:val="none"/>
          <w:lang w:val="en-US" w:eastAsia="zh-CN"/>
        </w:rPr>
        <w:t>2020年全年二手房走出“过山车”式行情，2021年楼市或将呈高位震荡走势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——2020年深圳楼市总结与预测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2020年年初，深圳楼市虽在短期内受到了疫情的影响，但自3月份复工之后，楼市迅速回暖，甚至在年中一度出现了过热行情，而随着7月份新政的出台，以及新房供应的持续增加，在下半年的第三季度，一、二手房市场开始分化，甚至出现了“冰火两重天”的行情，但自进入年末之后，一、二手房市场均迎来“翘尾”行情。总体看，2020年深圳楼市表现活跃，供需两旺，新房住宅成交量与二手房网签量均创新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一、2020年全年新房住宅成交量“先抑后扬”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据统计，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2020年全年我市共成交45384套新房住宅，相比2019年成交套数上涨了19.8%，并创下自2016年以来的新高。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事实上，年初受疫情影响，新房项目的批售进度放缓，但自进入下半年，尤其是7·15新政之后，随着供应的持续放量（根据相关公开数据统计，2020年全年深圳共预售53177套新房住宅，其中大部分预售主要集中在下半年年），从8月份开始成交量开始突破4000套关口，并在年底比二手房先期迎来“翘尾”行情，其中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11月份的成交量更是创下了近七年来同期成交量的新高。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525780</wp:posOffset>
            </wp:positionH>
            <wp:positionV relativeFrom="paragraph">
              <wp:posOffset>52070</wp:posOffset>
            </wp:positionV>
            <wp:extent cx="4430395" cy="2041525"/>
            <wp:effectExtent l="5080" t="4445" r="22225" b="11430"/>
            <wp:wrapSquare wrapText="bothSides"/>
            <wp:docPr id="13" name="图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2386304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21590</wp:posOffset>
            </wp:positionV>
            <wp:extent cx="4430395" cy="2041525"/>
            <wp:effectExtent l="5080" t="4445" r="22225" b="11430"/>
            <wp:wrapSquare wrapText="bothSides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（数据来源：深圳市住建局）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二、二手房市场概述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（一）2020年全市二手房网签量创新高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根据深房中协统计到的二手房网签数据分析，2020年全年，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深圳二手房网签（含自助）120295套，与2019年的数据相比高出17.3%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如剔除自助网签的部分，2020年网签量更是创下自2016年有统计数据以来的新高。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3115392" behindDoc="0" locked="0" layoutInCell="1" allowOverlap="1">
            <wp:simplePos x="0" y="0"/>
            <wp:positionH relativeFrom="column">
              <wp:posOffset>345440</wp:posOffset>
            </wp:positionH>
            <wp:positionV relativeFrom="paragraph">
              <wp:posOffset>60325</wp:posOffset>
            </wp:positionV>
            <wp:extent cx="4430395" cy="2041525"/>
            <wp:effectExtent l="5080" t="4445" r="22225" b="11430"/>
            <wp:wrapSquare wrapText="bothSides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firstLine="400" w:firstLineChars="200"/>
        <w:jc w:val="left"/>
        <w:textAlignment w:val="top"/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firstLine="400" w:firstLineChars="200"/>
        <w:jc w:val="left"/>
        <w:textAlignment w:val="top"/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</w:pP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注：</w:t>
      </w:r>
      <w:r>
        <w:rPr>
          <w:rFonts w:ascii="微软雅黑" w:eastAsia="微软雅黑" w:hAnsiTheme="minorBidi"/>
          <w:b/>
          <w:color w:val="C00000"/>
          <w:kern w:val="24"/>
          <w:sz w:val="20"/>
          <w:szCs w:val="20"/>
        </w:rPr>
        <w:t>本图所示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网签量</w:t>
      </w:r>
      <w:r>
        <w:rPr>
          <w:rFonts w:ascii="微软雅黑" w:eastAsia="微软雅黑" w:hAnsiTheme="minorBidi"/>
          <w:b/>
          <w:color w:val="C00000"/>
          <w:kern w:val="24"/>
          <w:sz w:val="20"/>
          <w:szCs w:val="20"/>
        </w:rPr>
        <w:t>，系指在深圳市房地产信息系统在线签订《深圳市二手房买卖合同》示范文本合同份数， 并非最终成交过户套数。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val="en-US" w:eastAsia="zh-CN"/>
        </w:rPr>
        <w:t>由于网签数据是依据深圳市房地产信息系统在线签订《深圳市二手房买卖合同》示范文本合同份数统计，相比最终完成成交过户的数据更能体现市场运行态势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（数据来源：深房中协中介标准指数）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（二）2020年全年二手房走出“过山车”式行情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全年二手房网签（含自助）走势上可以清晰地看出，今年二手房市场犹如经历一场“过山车式”的行情，年初受疫情影响，2月份市场处于全年低位水平，但自3月份全面复工之后，市场迅速回暖，并自进入4月份后便迅速呈现“亢奋”状态，直至7月份创下月度网签量的历史高点，达到了21317套，但随着7月中旬新政靴子的落地，市场迅速降温，网签量在8月份迅速回落近7成，随着市场对于新政的逐步适应，自进入11月份之后，二手房市场网签量开始逐步企稳，并且呈现持续反弹态势，甚至在年末12月份，还呈现出“翘尾”行情，12月份月度网签量突破了“一万大关”，在历史同期也属罕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3116416" behindDoc="1" locked="0" layoutInCell="1" allowOverlap="1">
            <wp:simplePos x="0" y="0"/>
            <wp:positionH relativeFrom="column">
              <wp:posOffset>657860</wp:posOffset>
            </wp:positionH>
            <wp:positionV relativeFrom="paragraph">
              <wp:posOffset>146685</wp:posOffset>
            </wp:positionV>
            <wp:extent cx="4091305" cy="2444750"/>
            <wp:effectExtent l="0" t="0" r="42545" b="50800"/>
            <wp:wrapTight wrapText="bothSides">
              <wp:wrapPolygon>
                <wp:start x="0" y="0"/>
                <wp:lineTo x="0" y="21376"/>
                <wp:lineTo x="21523" y="21376"/>
                <wp:lineTo x="21523" y="0"/>
                <wp:lineTo x="0" y="0"/>
              </wp:wrapPolygon>
            </wp:wrapTight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1305" cy="2444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firstLine="400" w:firstLineChars="200"/>
        <w:jc w:val="left"/>
        <w:textAlignment w:val="top"/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</w:pP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注：</w:t>
      </w:r>
      <w:r>
        <w:rPr>
          <w:rFonts w:ascii="微软雅黑" w:eastAsia="微软雅黑" w:hAnsiTheme="minorBidi"/>
          <w:b/>
          <w:color w:val="C00000"/>
          <w:kern w:val="24"/>
          <w:sz w:val="20"/>
          <w:szCs w:val="20"/>
        </w:rPr>
        <w:t>本图所示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网签量</w:t>
      </w:r>
      <w:r>
        <w:rPr>
          <w:rFonts w:ascii="微软雅黑" w:eastAsia="微软雅黑" w:hAnsiTheme="minorBidi"/>
          <w:b/>
          <w:color w:val="C00000"/>
          <w:kern w:val="24"/>
          <w:sz w:val="20"/>
          <w:szCs w:val="20"/>
        </w:rPr>
        <w:t>，系指在深圳市房地产信息系统在线签订《深圳市二手房买卖合同》示范文本合同份数， 并非最终成交过户套数。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val="en-US" w:eastAsia="zh-CN"/>
        </w:rPr>
        <w:t>由于网签数据是依据深圳市房地产信息系统在线签订《深圳市二手房买卖合同》示范文本合同份数统计，相比最终完成成交过户的数据更能体现市场运行态势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（数据来源：深房中协中介标准指数）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三、趋势预判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（一）年末二手房网签量的冲高或许只是阶段性行情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2020年12月份的二手房市场虽突破一万套大关，但根据周网签量走势分析，12月份前三周市场总体处于平稳态势，但自进入2020年最后一周，网签量迅速蹿升，总体拉高了2020年12月份的二手房网签量的水平。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3117440" behindDoc="1" locked="0" layoutInCell="1" allowOverlap="1">
            <wp:simplePos x="0" y="0"/>
            <wp:positionH relativeFrom="column">
              <wp:posOffset>804545</wp:posOffset>
            </wp:positionH>
            <wp:positionV relativeFrom="paragraph">
              <wp:posOffset>86360</wp:posOffset>
            </wp:positionV>
            <wp:extent cx="3700780" cy="1710690"/>
            <wp:effectExtent l="0" t="0" r="0" b="0"/>
            <wp:wrapTight wrapText="bothSides">
              <wp:wrapPolygon>
                <wp:start x="0" y="0"/>
                <wp:lineTo x="0" y="21408"/>
                <wp:lineTo x="21459" y="21408"/>
                <wp:lineTo x="21459" y="0"/>
                <wp:lineTo x="0" y="0"/>
              </wp:wrapPolygon>
            </wp:wrapTight>
            <wp:docPr id="10" name="图片 10" descr="QQ截图2021010415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QQ截图2021010415172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0780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（数据来源：深房中协中介标准指数）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究其原因，深房中协认为，一方面，随着市场对于新政政策的逐步适应，通常在年末会呈现出一定的“翘尾”行情，但另一方面，也与近期市场上广为流传的调控政策加码的传言，以及近期部分热点楼盘房源报价上涨的传导效应有很大关系，短期内使得市场氛围变得紧张与恐慌。但随着传闻被“辟谣”，以及年末信贷的持续收紧，以及春运返乡潮的临近，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现阶段二手房网签量的上涨或许只是阶段性的行情。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（二）全年高位震荡或成大概率事件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现阶段，深圳楼市对于任何政策的“风吹草动”都会呈现出较为剧烈的反映。因此，可以看出深圳的楼市具有非常强的敏感性，而敏感性的背后，本质上而言就是行政调控的压制与市场的躁动之间，反复博弈较量的必然结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因此，基于这一个客观背景，深房中协认为，在“房住不炒”这个大原则下，政策松绑的几率几乎可以忽略不计（除宏观经济出现大幅衰退外），长期看或将持续保持现阶段的高压态势，这一行政调控举措对于需求端而言，将会持续起到压制的作用，同时，基于近期央行与银保监会联合发布的新政，银行业金融机构房地产贷款集中度管理制度将逐步建立（规定房贷业务占比上限），未来房地产市场的资金端无疑将会被设置出一个“节流阀”。当然，由于未来宏观经济发展的不稳定性预期依然较为强烈，作为优质资源的深圳楼市，其内在投资需求一直存在，内在躁动的因素也并不会因调控而消失。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因此，2021年，深圳楼市大概率会呈现出高位震荡与调整的运行态势，市场反复博弈将会阶段性地上演。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965FC"/>
    <w:rsid w:val="06E61E83"/>
    <w:rsid w:val="11C95630"/>
    <w:rsid w:val="147D1D40"/>
    <w:rsid w:val="15EA6B36"/>
    <w:rsid w:val="1AD93981"/>
    <w:rsid w:val="1C492868"/>
    <w:rsid w:val="204F3A3A"/>
    <w:rsid w:val="242530FE"/>
    <w:rsid w:val="343830C4"/>
    <w:rsid w:val="34DD55DC"/>
    <w:rsid w:val="35606D92"/>
    <w:rsid w:val="373D0D88"/>
    <w:rsid w:val="3E7E7AD4"/>
    <w:rsid w:val="47E138E4"/>
    <w:rsid w:val="4A4B22E5"/>
    <w:rsid w:val="4A8C2F9F"/>
    <w:rsid w:val="51DD6B9B"/>
    <w:rsid w:val="546371EC"/>
    <w:rsid w:val="580748D6"/>
    <w:rsid w:val="5F321372"/>
    <w:rsid w:val="6ECE2B79"/>
    <w:rsid w:val="70867DC9"/>
    <w:rsid w:val="7217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Workbook2.xlsx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package" Target="../embeddings/Workbook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08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sz="108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2020</a:t>
            </a:r>
            <a:r>
              <a:rPr altLang="en-US" sz="108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年一手住宅月度成交量走势</a:t>
            </a:r>
            <a:r>
              <a:rPr altLang="en-US" sz="9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（单位：套）</a:t>
            </a:r>
            <a:endParaRPr altLang="en-US" sz="900" b="1">
              <a:latin typeface="黑体" panose="02010609060101010101" charset="-122"/>
              <a:ea typeface="黑体" panose="02010609060101010101" charset="-122"/>
              <a:cs typeface="黑体" panose="02010609060101010101" charset="-122"/>
            </a:endParaRPr>
          </a:p>
        </c:rich>
      </c:tx>
      <c:layout>
        <c:manualLayout>
          <c:xMode val="edge"/>
          <c:yMode val="edge"/>
          <c:x val="0.257990540346854"/>
          <c:y val="0.0214618973561431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802063924322775"/>
          <c:y val="0.148367029548989"/>
          <c:w val="0.915493765228608"/>
          <c:h val="0.6138102643856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一手住宅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Sheet1!$A$2:$A$13</c:f>
              <c:numCache>
                <c:formatCode>General</c:formatCode>
                <c:ptCount val="12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  <c:pt idx="10">
                  <c:v>202011</c:v>
                </c:pt>
                <c:pt idx="11">
                  <c:v>202012</c:v>
                </c:pt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2813</c:v>
                </c:pt>
                <c:pt idx="1">
                  <c:v>830</c:v>
                </c:pt>
                <c:pt idx="2">
                  <c:v>3152</c:v>
                </c:pt>
                <c:pt idx="3">
                  <c:v>3446</c:v>
                </c:pt>
                <c:pt idx="4">
                  <c:v>3413</c:v>
                </c:pt>
                <c:pt idx="5">
                  <c:v>3343</c:v>
                </c:pt>
                <c:pt idx="6">
                  <c:v>3478</c:v>
                </c:pt>
                <c:pt idx="7">
                  <c:v>4076</c:v>
                </c:pt>
                <c:pt idx="8">
                  <c:v>4871</c:v>
                </c:pt>
                <c:pt idx="9">
                  <c:v>4617</c:v>
                </c:pt>
                <c:pt idx="10">
                  <c:v>6296</c:v>
                </c:pt>
                <c:pt idx="11">
                  <c:v>5319</c:v>
                </c:pt>
              </c:numCache>
            </c:numRef>
          </c:val>
        </c:ser>
        <c:ser>
          <c:idx val="1"/>
          <c:order val="1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Sheet1!$A$2:$A$13</c:f>
              <c:numCache>
                <c:formatCode>General</c:formatCode>
                <c:ptCount val="12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  <c:pt idx="10">
                  <c:v>202011</c:v>
                </c:pt>
                <c:pt idx="11">
                  <c:v>202012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Sheet1!$A$2:$A$13</c:f>
              <c:numCache>
                <c:formatCode>General</c:formatCode>
                <c:ptCount val="12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  <c:pt idx="10">
                  <c:v>202011</c:v>
                </c:pt>
                <c:pt idx="11">
                  <c:v>202012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0761452"/>
        <c:axId val="575663679"/>
      </c:barChart>
      <c:catAx>
        <c:axId val="38076145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75663679"/>
        <c:crosses val="autoZero"/>
        <c:auto val="1"/>
        <c:lblAlgn val="ctr"/>
        <c:lblOffset val="100"/>
        <c:noMultiLvlLbl val="0"/>
      </c:catAx>
      <c:valAx>
        <c:axId val="5756636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07614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900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sz="12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5</a:t>
            </a:r>
            <a:r>
              <a:rPr altLang="en-US" sz="12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年来深圳新房住宅成交量（单位：套）</a:t>
            </a:r>
            <a:endParaRPr altLang="en-US" sz="1200" b="1">
              <a:latin typeface="黑体" panose="02010609060101010101" charset="-122"/>
              <a:ea typeface="黑体" panose="02010609060101010101" charset="-122"/>
              <a:cs typeface="黑体" panose="02010609060101010101" charset="-122"/>
            </a:endParaRPr>
          </a:p>
        </c:rich>
      </c:tx>
      <c:layout>
        <c:manualLayout>
          <c:xMode val="edge"/>
          <c:yMode val="edge"/>
          <c:x val="0.227461659739143"/>
          <c:y val="0.0335925349922239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3052888060771"/>
          <c:y val="0.174494556765163"/>
          <c:w val="0.874215278773112"/>
          <c:h val="0.6635769828926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一手住宅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40443</c:v>
                </c:pt>
                <c:pt idx="1">
                  <c:v>25820</c:v>
                </c:pt>
                <c:pt idx="2">
                  <c:v>29396</c:v>
                </c:pt>
                <c:pt idx="3">
                  <c:v>37882</c:v>
                </c:pt>
                <c:pt idx="4">
                  <c:v>45384</c:v>
                </c:pt>
              </c:numCache>
            </c:numRef>
          </c:val>
        </c:ser>
        <c:ser>
          <c:idx val="1"/>
          <c:order val="1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0761452"/>
        <c:axId val="575663679"/>
      </c:barChart>
      <c:catAx>
        <c:axId val="38076145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75663679"/>
        <c:crosses val="autoZero"/>
        <c:auto val="1"/>
        <c:lblAlgn val="ctr"/>
        <c:lblOffset val="100"/>
        <c:noMultiLvlLbl val="0"/>
      </c:catAx>
      <c:valAx>
        <c:axId val="5756636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07614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1000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altLang="en-US" sz="12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三年来深圳二手房网签量（含自助）走势</a:t>
            </a:r>
            <a:r>
              <a:rPr altLang="en-US" sz="9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（单位：套）</a:t>
            </a:r>
            <a:endParaRPr altLang="en-US" sz="900" b="1">
              <a:latin typeface="黑体" panose="02010609060101010101" charset="-122"/>
              <a:ea typeface="黑体" panose="02010609060101010101" charset="-122"/>
              <a:cs typeface="黑体" panose="02010609060101010101" charset="-122"/>
            </a:endParaRPr>
          </a:p>
        </c:rich>
      </c:tx>
      <c:layout>
        <c:manualLayout>
          <c:xMode val="edge"/>
          <c:yMode val="edge"/>
          <c:x val="0.133151784434571"/>
          <c:y val="0.0335925349922239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3052888060771"/>
          <c:y val="0.174494556765163"/>
          <c:w val="0.874215278773112"/>
          <c:h val="0.6635769828926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二手房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Sheet1!$A$2:$A$4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86256</c:v>
                </c:pt>
                <c:pt idx="1">
                  <c:v>102593</c:v>
                </c:pt>
                <c:pt idx="2">
                  <c:v>120295</c:v>
                </c:pt>
              </c:numCache>
            </c:numRef>
          </c:val>
        </c:ser>
        <c:ser>
          <c:idx val="1"/>
          <c:order val="1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Sheet1!$A$2:$A$4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Sheet1!$A$2:$A$4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0761452"/>
        <c:axId val="575663679"/>
      </c:barChart>
      <c:catAx>
        <c:axId val="38076145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75663679"/>
        <c:crosses val="autoZero"/>
        <c:auto val="1"/>
        <c:lblAlgn val="ctr"/>
        <c:lblOffset val="100"/>
        <c:noMultiLvlLbl val="0"/>
      </c:catAx>
      <c:valAx>
        <c:axId val="5756636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07614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1000" b="1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73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2020-10-29T06:55:00Z</dcterms:created>
  <dc:creator>huah</dc:creator>
  <cp:lastModifiedBy>深房中协—华洪</cp:lastModifiedBy>
  <cp:lastPrinted>2020-10-30T01:24:00Z</cp:lastPrinted>
  <dcterms:modified xsi:type="dcterms:W3CDTF">2021-01-05T08:36:20Z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