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新房成交量创同期七年新高，二手房网签量却要面临年末“冲关”考验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——11月份深圳楼市小结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一、一手住宅迎来“翘尾”行情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据统计，2020年下半年以来，深圳一手住宅市场持续高位供应，根据相关公开数据显示，11月全市共预售8663套一手住宅。新房供应的加大，在某种程度上是为兑现7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新政中供应加大提法的举措。事实上，根据深房中协统计，自2020年8月份至10月份以来，全市一手住宅月度成交量均保持在近4500套左右的水平，而进入11月分，随着新房供应的持续发力，全市一手住宅成交量再次迎来放量态势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共计成交6296套，成交量环比上涨36.4%，同比更是大涨97%，创下了近七年来同期成交量的新高！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23495</wp:posOffset>
            </wp:positionV>
            <wp:extent cx="4430395" cy="2041525"/>
            <wp:effectExtent l="5080" t="4445" r="22225" b="11430"/>
            <wp:wrapSquare wrapText="bothSides"/>
            <wp:docPr id="13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（数据来源：深圳市住建局）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从一手住宅成交区域占比看，光明、宝安、龙华、龙岗四区表现十分出彩，四区成交量均破千套。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二、二手房市场网签量有所反弹，“翘尾”并不显著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根据深房中协统计到的二手房网签数据分析，11月份我市二手房网签量（含自助网签）共计7396套，环比10月网签量量（含自助网签）反弹29%，但同比去年同期11月份10605套的网签数据，仍然下滑30.3%。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总体看，新政以来，平均每月二手房网签量维持在近7000套左右水平，总体较为平稳。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走势上分析，一方面，虽然近期新房“打新热”持续，但由于优质新房项目供需矛盾紧张，导致此类新房“中签”概率较低，部分未“中签”的需求有回流至二手房市场的可能；另一方面，由于新政的影响已持续四个多月，市场对于新政开始逐步适应，需求重新入市的积极性相比前几个月有一定的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0" w:firstLineChars="200"/>
        <w:jc w:val="both"/>
        <w:textAlignment w:val="auto"/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2297216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57150</wp:posOffset>
            </wp:positionV>
            <wp:extent cx="4926330" cy="2874645"/>
            <wp:effectExtent l="0" t="0" r="45720" b="40005"/>
            <wp:wrapTight wrapText="bothSides">
              <wp:wrapPolygon>
                <wp:start x="0" y="0"/>
                <wp:lineTo x="0" y="21471"/>
                <wp:lineTo x="21550" y="21471"/>
                <wp:lineTo x="21550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6330" cy="2874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注：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本图所示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网签量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，系指在深圳市房地产信息系统在线签订《深圳市二手房买卖合同》示范文本合同份数， 并非最终成交过户套数。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val="en-US" w:eastAsia="zh-CN"/>
        </w:rPr>
        <w:t>由于网签数据是依据深圳市房地产信息系统在线签订《深圳市二手房买卖合同》示范文本合同份数统计，相比最终完成成交过户的数据更能体现市场运行态势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三、龙岗片区二手房网签量占比持续升高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总体看，以龙岗为代表的东部片区，无论是供应还是在价格上更为“接地气”，尤其是在新政后，龙岗区的二手房网签量的占比便呈现出持续增加的态势，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这一走量态势，也与调控政策“稳预期，刚需走量”的初衷相一致。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229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109855</wp:posOffset>
            </wp:positionV>
            <wp:extent cx="5219700" cy="1905000"/>
            <wp:effectExtent l="0" t="0" r="0" b="0"/>
            <wp:wrapTight wrapText="bothSides">
              <wp:wrapPolygon>
                <wp:start x="0" y="0"/>
                <wp:lineTo x="0" y="21384"/>
                <wp:lineTo x="21521" y="21384"/>
                <wp:lineTo x="21521" y="0"/>
                <wp:lineTo x="0" y="0"/>
              </wp:wrapPolygon>
            </wp:wrapTight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四、二手房市场网签量年末能否放量“冲关”仍存疑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总体而言，虽然现阶段的部分购房需求可能存在回流二手房市场的趋势，同时，市场也逐渐度过了调控政策适应期，需求入市态度相比前几个月有所提高。但一方面，受年末银行信贷收紧影响，另一方面，根据相关数据统计，年末新房市场仍将有将近38个潜在入市项目正在赶跑途中，新房市场分流二手房市场的需求影响依然存在，因此，综合分析，年末二手房市场的网签量，大概率将维持现有总体平稳的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61E83"/>
    <w:rsid w:val="139B2357"/>
    <w:rsid w:val="1AD93981"/>
    <w:rsid w:val="1C492868"/>
    <w:rsid w:val="204F3A3A"/>
    <w:rsid w:val="242530FE"/>
    <w:rsid w:val="34DD55DC"/>
    <w:rsid w:val="35606D92"/>
    <w:rsid w:val="373D0D88"/>
    <w:rsid w:val="3DCF49C0"/>
    <w:rsid w:val="4A4B22E5"/>
    <w:rsid w:val="4A8C2F9F"/>
    <w:rsid w:val="51DD6B9B"/>
    <w:rsid w:val="52110123"/>
    <w:rsid w:val="546371EC"/>
    <w:rsid w:val="5F321372"/>
    <w:rsid w:val="6ECE2B79"/>
    <w:rsid w:val="7086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2020</a:t>
            </a:r>
            <a:r>
              <a:rPr altLang="en-US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年一手住宅成交套数</a:t>
            </a:r>
            <a:endParaRPr altLang="en-US" sz="108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942467151422375"/>
          <c:y val="0.111376109640089"/>
          <c:w val="0.905325170382349"/>
          <c:h val="0.7512999365884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</c:numCache>
            </c:num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2813</c:v>
                </c:pt>
                <c:pt idx="1">
                  <c:v>830</c:v>
                </c:pt>
                <c:pt idx="2">
                  <c:v>3152</c:v>
                </c:pt>
                <c:pt idx="3">
                  <c:v>3446</c:v>
                </c:pt>
                <c:pt idx="4">
                  <c:v>3413</c:v>
                </c:pt>
                <c:pt idx="5">
                  <c:v>3343</c:v>
                </c:pt>
                <c:pt idx="6">
                  <c:v>3478</c:v>
                </c:pt>
                <c:pt idx="7">
                  <c:v>4076</c:v>
                </c:pt>
                <c:pt idx="8">
                  <c:v>4871</c:v>
                </c:pt>
                <c:pt idx="9">
                  <c:v>4617</c:v>
                </c:pt>
                <c:pt idx="10">
                  <c:v>6296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2020-10-29T06:55:00Z</dcterms:created>
  <dc:creator>huah</dc:creator>
  <cp:lastModifiedBy>深房中协—华洪</cp:lastModifiedBy>
  <cp:lastPrinted>2020-12-04T06:22:00Z</cp:lastPrinted>
  <dcterms:modified xsi:type="dcterms:W3CDTF">2020-12-04T06:59:11Z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