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你所了解到的“房价上涨”或许只是人为编导的一出戏！</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eastAsia="zh-CN"/>
        </w:rPr>
      </w:pPr>
      <w:r>
        <w:rPr>
          <w:rFonts w:hint="eastAsia" w:ascii="楷体" w:hAnsi="楷体" w:eastAsia="楷体" w:cs="黑体"/>
          <w:b/>
          <w:bCs/>
          <w:sz w:val="32"/>
          <w:szCs w:val="32"/>
        </w:rPr>
        <w:t>——</w:t>
      </w:r>
      <w:r>
        <w:rPr>
          <w:rFonts w:hint="eastAsia" w:ascii="楷体" w:hAnsi="楷体" w:eastAsia="楷体" w:cs="黑体"/>
          <w:b/>
          <w:bCs/>
          <w:sz w:val="32"/>
          <w:szCs w:val="32"/>
          <w:lang w:val="en-US" w:eastAsia="zh-CN"/>
        </w:rPr>
        <w:t>12</w:t>
      </w:r>
      <w:r>
        <w:rPr>
          <w:rFonts w:hint="eastAsia" w:ascii="楷体" w:hAnsi="楷体" w:eastAsia="楷体" w:cs="黑体"/>
          <w:b/>
          <w:bCs/>
          <w:sz w:val="32"/>
          <w:szCs w:val="32"/>
        </w:rPr>
        <w:t>月深圳热点楼盘房源报价数据观察表</w:t>
      </w:r>
    </w:p>
    <w:p>
      <w:pPr>
        <w:spacing w:line="560" w:lineRule="exact"/>
        <w:jc w:val="center"/>
        <w:rPr>
          <w:rFonts w:hint="eastAsia" w:ascii="黑体" w:hAnsi="黑体" w:eastAsia="黑体" w:cs="黑体"/>
          <w:b w:val="0"/>
          <w:bCs w:val="0"/>
          <w:sz w:val="32"/>
          <w:szCs w:val="32"/>
          <w:lang w:eastAsia="zh-CN"/>
        </w:rPr>
      </w:pPr>
      <w:r>
        <w:rPr>
          <w:rFonts w:hint="eastAsia" w:ascii="黑体" w:hAnsi="黑体" w:eastAsia="黑体" w:cs="黑体"/>
          <w:b/>
          <w:bCs/>
          <w:sz w:val="32"/>
          <w:szCs w:val="32"/>
          <w:lang w:eastAsia="zh-CN"/>
        </w:rPr>
        <w:t>（采样时间</w:t>
      </w:r>
      <w:r>
        <w:rPr>
          <w:rFonts w:hint="eastAsia" w:ascii="黑体" w:hAnsi="黑体" w:eastAsia="黑体" w:cs="黑体"/>
          <w:b/>
          <w:bCs/>
          <w:sz w:val="32"/>
          <w:szCs w:val="32"/>
          <w:lang w:val="en-US" w:eastAsia="zh-CN"/>
        </w:rPr>
        <w:t>12.14</w:t>
      </w:r>
      <w:r>
        <w:rPr>
          <w:rFonts w:hint="eastAsia" w:ascii="黑体" w:hAnsi="黑体" w:eastAsia="黑体" w:cs="黑体"/>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bCs/>
          <w:sz w:val="32"/>
          <w:szCs w:val="32"/>
          <w:lang w:val="en-US" w:eastAsia="zh-CN"/>
        </w:rPr>
      </w:pPr>
      <w:r>
        <w:rPr>
          <w:rFonts w:hint="eastAsia" w:ascii="仿宋" w:hAnsi="仿宋" w:eastAsia="仿宋" w:cs="仿宋"/>
          <w:b w:val="0"/>
          <w:bCs w:val="0"/>
          <w:sz w:val="32"/>
          <w:szCs w:val="32"/>
          <w:highlight w:val="none"/>
          <w:lang w:val="en-US" w:eastAsia="zh-CN"/>
        </w:rPr>
        <w:t>根据深房中协对热点楼盘房源报价的跟踪分析，</w:t>
      </w:r>
      <w:r>
        <w:rPr>
          <w:rFonts w:hint="eastAsia" w:ascii="仿宋" w:hAnsi="仿宋" w:eastAsia="仿宋" w:cs="仿宋"/>
          <w:sz w:val="32"/>
          <w:szCs w:val="32"/>
          <w:lang w:val="en-US" w:eastAsia="zh-CN"/>
        </w:rPr>
        <w:t>随着政策观望调整期（据研究深圳楼市对于调控政策的调整观望期大致为3-4个月左右）的结束，</w:t>
      </w:r>
      <w:r>
        <w:rPr>
          <w:rFonts w:hint="eastAsia" w:ascii="仿宋" w:hAnsi="仿宋" w:eastAsia="仿宋" w:cs="仿宋"/>
          <w:b/>
          <w:bCs/>
          <w:sz w:val="32"/>
          <w:szCs w:val="32"/>
          <w:lang w:val="en-US" w:eastAsia="zh-CN"/>
        </w:rPr>
        <w:t>热点楼盘的房源报价再度有集体抬头的迹象。</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b w:val="0"/>
          <w:bCs w:val="0"/>
          <w:sz w:val="32"/>
          <w:szCs w:val="32"/>
          <w:highlight w:val="none"/>
          <w:lang w:val="en-US" w:eastAsia="zh-CN"/>
        </w:rPr>
      </w:pPr>
      <w:r>
        <w:rPr>
          <w:rFonts w:hint="eastAsia" w:ascii="仿宋" w:hAnsi="仿宋" w:eastAsia="仿宋" w:cs="仿宋"/>
          <w:b/>
          <w:bCs/>
          <w:sz w:val="32"/>
          <w:szCs w:val="32"/>
          <w:highlight w:val="none"/>
          <w:lang w:val="en-US" w:eastAsia="zh-CN"/>
        </w:rPr>
        <w:t>一、业主心态坚定，房源报价再现集体上调苗头</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val="0"/>
          <w:bCs w:val="0"/>
          <w:sz w:val="32"/>
          <w:szCs w:val="32"/>
          <w:highlight w:val="none"/>
          <w:lang w:val="en-US" w:eastAsia="zh-CN"/>
        </w:rPr>
        <w:t>从观察表清晰可见，新政对于热点楼盘业主心态的影响并不如此前市场预期的那般剧烈，此前在8月份，虽然观察表中存在部分业主下调房源报价试探市场的行为，但随着市场逐步度过适应调整期后，房源报价下调的行为逐步减少（11月份观察表中环比10月下调房源报价的楼盘有3个，房源报价保持不变的有1个，但本月观察表中房源报价环比上月下调房源报价的楼盘仅剩1个），</w:t>
      </w:r>
      <w:r>
        <w:rPr>
          <w:rFonts w:hint="eastAsia" w:ascii="仿宋" w:hAnsi="仿宋" w:eastAsia="仿宋" w:cs="仿宋"/>
          <w:b/>
          <w:bCs/>
          <w:sz w:val="32"/>
          <w:szCs w:val="32"/>
          <w:highlight w:val="none"/>
          <w:lang w:val="en-US" w:eastAsia="zh-CN"/>
        </w:rPr>
        <w:t>显示出业主心态的坚定，即便在当下二手房成交量相对低位平稳的阶段，也依然维持报价上调的状态。</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此外，随着观察表中部分热点楼盘成交量的陆续“破冰”（是否存在炒房群体“左右手交易”行为尚无法验证），导致业主强硬的心态，通过房源报价的持续上调，不断地向社会传递和扩散（详见观察表），需值得警惕。</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sz w:val="32"/>
          <w:szCs w:val="32"/>
          <w:highlight w:val="none"/>
          <w:lang w:val="en-US" w:eastAsia="zh-CN"/>
        </w:rPr>
      </w:pPr>
    </w:p>
    <w:tbl>
      <w:tblPr>
        <w:tblStyle w:val="6"/>
        <w:tblW w:w="10500" w:type="dxa"/>
        <w:jc w:val="center"/>
        <w:shd w:val="clear" w:color="auto" w:fill="auto"/>
        <w:tblLayout w:type="autofit"/>
        <w:tblCellMar>
          <w:top w:w="0" w:type="dxa"/>
          <w:left w:w="0" w:type="dxa"/>
          <w:bottom w:w="0" w:type="dxa"/>
          <w:right w:w="0" w:type="dxa"/>
        </w:tblCellMar>
      </w:tblPr>
      <w:tblGrid>
        <w:gridCol w:w="1078"/>
        <w:gridCol w:w="1079"/>
        <w:gridCol w:w="1080"/>
        <w:gridCol w:w="1080"/>
        <w:gridCol w:w="1049"/>
        <w:gridCol w:w="831"/>
        <w:gridCol w:w="911"/>
        <w:gridCol w:w="1079"/>
        <w:gridCol w:w="1079"/>
        <w:gridCol w:w="1234"/>
      </w:tblGrid>
      <w:tr>
        <w:tblPrEx>
          <w:shd w:val="clear" w:color="auto" w:fill="auto"/>
          <w:tblCellMar>
            <w:top w:w="0" w:type="dxa"/>
            <w:left w:w="0" w:type="dxa"/>
            <w:bottom w:w="0" w:type="dxa"/>
            <w:right w:w="0" w:type="dxa"/>
          </w:tblCellMar>
        </w:tblPrEx>
        <w:trPr>
          <w:trHeight w:val="92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区域</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热点片区</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基准参考项目</w:t>
            </w:r>
          </w:p>
        </w:tc>
        <w:tc>
          <w:tcPr>
            <w:tcW w:w="1050" w:type="dxa"/>
            <w:tcBorders>
              <w:top w:val="single" w:color="000000" w:sz="4" w:space="0"/>
              <w:left w:val="single" w:color="000000" w:sz="4" w:space="0"/>
              <w:bottom w:val="single" w:color="000000" w:sz="4" w:space="0"/>
              <w:right w:val="single" w:color="000000" w:sz="4" w:space="0"/>
            </w:tcBorders>
            <w:shd w:val="clear" w:color="auto" w:fill="FFC00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新政前（6.16采集）</w:t>
            </w:r>
          </w:p>
        </w:tc>
        <w:tc>
          <w:tcPr>
            <w:tcW w:w="831" w:type="dxa"/>
            <w:tcBorders>
              <w:top w:val="single" w:color="000000" w:sz="4" w:space="0"/>
              <w:left w:val="single" w:color="000000" w:sz="4" w:space="0"/>
              <w:bottom w:val="single" w:color="000000" w:sz="4" w:space="0"/>
              <w:right w:val="single" w:color="000000" w:sz="4" w:space="0"/>
            </w:tcBorders>
            <w:shd w:val="clear" w:color="auto" w:fill="92CDDC"/>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新政后（11.19采集）</w:t>
            </w:r>
          </w:p>
        </w:tc>
        <w:tc>
          <w:tcPr>
            <w:tcW w:w="912" w:type="dxa"/>
            <w:tcBorders>
              <w:top w:val="single" w:color="000000" w:sz="4" w:space="0"/>
              <w:left w:val="single" w:color="000000" w:sz="4" w:space="0"/>
              <w:bottom w:val="single" w:color="000000" w:sz="4" w:space="0"/>
              <w:right w:val="single" w:color="000000" w:sz="4" w:space="0"/>
            </w:tcBorders>
            <w:shd w:val="clear" w:color="auto" w:fill="92CDDC"/>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12.14采集</w:t>
            </w:r>
          </w:p>
        </w:tc>
        <w:tc>
          <w:tcPr>
            <w:tcW w:w="1080" w:type="dxa"/>
            <w:tcBorders>
              <w:top w:val="single" w:color="000000" w:sz="4" w:space="0"/>
              <w:left w:val="single" w:color="000000" w:sz="4" w:space="0"/>
              <w:bottom w:val="single" w:color="000000" w:sz="4" w:space="0"/>
              <w:right w:val="single" w:color="000000" w:sz="4" w:space="0"/>
            </w:tcBorders>
            <w:shd w:val="clear" w:color="auto" w:fill="F2DCDB"/>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与新政前累计对比情况</w:t>
            </w:r>
            <w:r>
              <w:rPr>
                <w:rFonts w:hint="eastAsia" w:ascii="宋体" w:hAnsi="宋体" w:eastAsia="宋体" w:cs="宋体"/>
                <w:b/>
                <w:i w:val="0"/>
                <w:color w:val="000000"/>
                <w:kern w:val="0"/>
                <w:sz w:val="16"/>
                <w:szCs w:val="16"/>
                <w:u w:val="none"/>
                <w:lang w:val="en-US" w:eastAsia="zh-CN" w:bidi="ar"/>
              </w:rPr>
              <w:t>（12月与6月对比）</w:t>
            </w:r>
          </w:p>
        </w:tc>
        <w:tc>
          <w:tcPr>
            <w:tcW w:w="1080" w:type="dxa"/>
            <w:tcBorders>
              <w:top w:val="single" w:color="000000" w:sz="4" w:space="0"/>
              <w:left w:val="single" w:color="000000" w:sz="4" w:space="0"/>
              <w:bottom w:val="single" w:color="000000" w:sz="4" w:space="0"/>
              <w:right w:val="single" w:color="000000" w:sz="4" w:space="0"/>
            </w:tcBorders>
            <w:shd w:val="clear" w:color="auto" w:fill="F2DCDB"/>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环比情况</w:t>
            </w:r>
            <w:r>
              <w:rPr>
                <w:rFonts w:hint="eastAsia" w:ascii="宋体" w:hAnsi="宋体" w:eastAsia="宋体" w:cs="宋体"/>
                <w:b/>
                <w:i w:val="0"/>
                <w:color w:val="000000"/>
                <w:kern w:val="0"/>
                <w:sz w:val="16"/>
                <w:szCs w:val="16"/>
                <w:u w:val="none"/>
                <w:lang w:val="en-US" w:eastAsia="zh-CN" w:bidi="ar"/>
              </w:rPr>
              <w:t>（与上月报价环比）</w:t>
            </w:r>
          </w:p>
        </w:tc>
        <w:tc>
          <w:tcPr>
            <w:tcW w:w="1235" w:type="dxa"/>
            <w:tcBorders>
              <w:top w:val="single" w:color="000000" w:sz="4" w:space="0"/>
              <w:left w:val="single" w:color="000000" w:sz="4" w:space="0"/>
              <w:bottom w:val="single" w:color="000000" w:sz="4" w:space="0"/>
              <w:right w:val="single" w:color="000000" w:sz="4" w:space="0"/>
            </w:tcBorders>
            <w:shd w:val="clear" w:color="auto" w:fill="92CDDC"/>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近90天内各平台成交情况（12.14采集）</w:t>
            </w:r>
          </w:p>
        </w:tc>
      </w:tr>
      <w:tr>
        <w:tblPrEx>
          <w:tblCellMar>
            <w:top w:w="0" w:type="dxa"/>
            <w:left w:w="0" w:type="dxa"/>
            <w:bottom w:w="0" w:type="dxa"/>
            <w:right w:w="0" w:type="dxa"/>
          </w:tblCellMar>
        </w:tblPrEx>
        <w:trPr>
          <w:trHeight w:val="46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热点楼盘</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放盘平台</w:t>
            </w:r>
          </w:p>
        </w:tc>
        <w:tc>
          <w:tcPr>
            <w:tcW w:w="2793" w:type="dxa"/>
            <w:gridSpan w:val="3"/>
            <w:tcBorders>
              <w:top w:val="single" w:color="000000" w:sz="4" w:space="0"/>
              <w:left w:val="single" w:color="000000" w:sz="4" w:space="0"/>
              <w:bottom w:val="single" w:color="000000" w:sz="4" w:space="0"/>
              <w:right w:val="single" w:color="000000" w:sz="4" w:space="0"/>
            </w:tcBorders>
            <w:shd w:val="clear" w:color="auto" w:fill="92CDDC"/>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该小区在当前平台报盘均价（元/平米）</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F2DCDB"/>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新政前后该小区在当前平台报盘均价的变化</w:t>
            </w:r>
          </w:p>
        </w:tc>
        <w:tc>
          <w:tcPr>
            <w:tcW w:w="1235" w:type="dxa"/>
            <w:tcBorders>
              <w:top w:val="single" w:color="000000" w:sz="4" w:space="0"/>
              <w:left w:val="single" w:color="000000" w:sz="4" w:space="0"/>
              <w:bottom w:val="single" w:color="000000" w:sz="4" w:space="0"/>
              <w:right w:val="single" w:color="000000" w:sz="4" w:space="0"/>
            </w:tcBorders>
            <w:shd w:val="clear" w:color="auto" w:fill="92CDDC"/>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成交套数</w:t>
            </w:r>
          </w:p>
        </w:tc>
      </w:tr>
      <w:tr>
        <w:tblPrEx>
          <w:tblCellMar>
            <w:top w:w="0" w:type="dxa"/>
            <w:left w:w="0" w:type="dxa"/>
            <w:bottom w:w="0" w:type="dxa"/>
            <w:right w:w="0" w:type="dxa"/>
          </w:tblCellMar>
        </w:tblPrEx>
        <w:trPr>
          <w:trHeight w:val="2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福田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香蜜湖片区</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锦庐花园</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贝壳找房</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197676</w:t>
            </w:r>
          </w:p>
        </w:tc>
        <w:tc>
          <w:tcPr>
            <w:tcW w:w="8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198651</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214006</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8.26%</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7.73%</w:t>
            </w: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中原</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乐有家</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2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Q房网</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竹园小区</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贝壳找房</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148847</w:t>
            </w:r>
          </w:p>
        </w:tc>
        <w:tc>
          <w:tcPr>
            <w:tcW w:w="8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169415</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158865</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6.73%</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B050"/>
                <w:sz w:val="16"/>
                <w:szCs w:val="16"/>
                <w:u w:val="none"/>
              </w:rPr>
            </w:pPr>
            <w:r>
              <w:rPr>
                <w:rFonts w:hint="eastAsia" w:ascii="宋体" w:hAnsi="宋体" w:eastAsia="宋体" w:cs="宋体"/>
                <w:b/>
                <w:i w:val="0"/>
                <w:color w:val="00B050"/>
                <w:kern w:val="0"/>
                <w:sz w:val="16"/>
                <w:szCs w:val="16"/>
                <w:u w:val="none"/>
                <w:lang w:val="en-US" w:eastAsia="zh-CN" w:bidi="ar"/>
              </w:rPr>
              <w:t>-6.23%</w:t>
            </w: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中原</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乐有家</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5</w:t>
            </w:r>
          </w:p>
        </w:tc>
      </w:tr>
      <w:tr>
        <w:tblPrEx>
          <w:tblCellMar>
            <w:top w:w="0" w:type="dxa"/>
            <w:left w:w="0" w:type="dxa"/>
            <w:bottom w:w="0" w:type="dxa"/>
            <w:right w:w="0" w:type="dxa"/>
          </w:tblCellMar>
        </w:tblPrEx>
        <w:trPr>
          <w:trHeight w:val="2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Q房网</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南山</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红树林片区</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红树西岸（百仕达红树西岸）</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贝壳找房</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149954</w:t>
            </w:r>
          </w:p>
        </w:tc>
        <w:tc>
          <w:tcPr>
            <w:tcW w:w="8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172489</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176546</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17.73%</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2.35%</w:t>
            </w: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中原</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乐有家</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Q房网</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宝安</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新安片区</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TATA公寓</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贝壳找房</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127910</w:t>
            </w:r>
          </w:p>
        </w:tc>
        <w:tc>
          <w:tcPr>
            <w:tcW w:w="8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107276</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110696</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B050"/>
                <w:sz w:val="16"/>
                <w:szCs w:val="16"/>
                <w:u w:val="none"/>
              </w:rPr>
            </w:pPr>
            <w:r>
              <w:rPr>
                <w:rFonts w:hint="eastAsia" w:ascii="宋体" w:hAnsi="宋体" w:eastAsia="宋体" w:cs="宋体"/>
                <w:b/>
                <w:i w:val="0"/>
                <w:color w:val="00B050"/>
                <w:kern w:val="0"/>
                <w:sz w:val="16"/>
                <w:szCs w:val="16"/>
                <w:u w:val="none"/>
                <w:lang w:val="en-US" w:eastAsia="zh-CN" w:bidi="ar"/>
              </w:rPr>
              <w:t>-13.46%</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3.19%</w:t>
            </w: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2</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中原</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乐有家</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2</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Q房网</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B05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2</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沙井片区</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鸿荣源禧园</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贝壳找房</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57525</w:t>
            </w:r>
          </w:p>
        </w:tc>
        <w:tc>
          <w:tcPr>
            <w:tcW w:w="8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61500</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63839</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10.98%</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3.80%</w:t>
            </w: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中原</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3</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乐有家</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Q房网</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西乡片区</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圣淘沙骏园</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贝壳找房</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99881</w:t>
            </w:r>
          </w:p>
        </w:tc>
        <w:tc>
          <w:tcPr>
            <w:tcW w:w="8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107375</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108267</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8.40%</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0.83%</w:t>
            </w: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中原</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乐有家</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Q房网</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龙华</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上塘片区</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特发和平里二期</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贝壳找房</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73910</w:t>
            </w:r>
          </w:p>
        </w:tc>
        <w:tc>
          <w:tcPr>
            <w:tcW w:w="8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76079</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77183</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4.43%</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1.45%</w:t>
            </w: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1</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中原</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乐有家</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Q房网</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龙岗</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坂田片区</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星河银湖谷</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贝壳找房</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88805</w:t>
            </w:r>
          </w:p>
        </w:tc>
        <w:tc>
          <w:tcPr>
            <w:tcW w:w="8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95486</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96931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9.15%</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FF0000"/>
                <w:sz w:val="16"/>
                <w:szCs w:val="16"/>
                <w:u w:val="none"/>
              </w:rPr>
            </w:pPr>
            <w:r>
              <w:rPr>
                <w:rFonts w:hint="eastAsia" w:ascii="宋体" w:hAnsi="宋体" w:eastAsia="宋体" w:cs="宋体"/>
                <w:b/>
                <w:i w:val="0"/>
                <w:color w:val="FF0000"/>
                <w:kern w:val="0"/>
                <w:sz w:val="16"/>
                <w:szCs w:val="16"/>
                <w:u w:val="none"/>
                <w:lang w:val="en-US" w:eastAsia="zh-CN" w:bidi="ar"/>
              </w:rPr>
              <w:t>1.51%</w:t>
            </w: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4</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中原</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乐有家</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r>
        <w:tblPrEx>
          <w:tblCellMar>
            <w:top w:w="0" w:type="dxa"/>
            <w:left w:w="0" w:type="dxa"/>
            <w:bottom w:w="0" w:type="dxa"/>
            <w:right w:w="0" w:type="dxa"/>
          </w:tblCellMar>
        </w:tblPrEx>
        <w:trPr>
          <w:trHeight w:val="31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Q房网</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FF0000"/>
                <w:sz w:val="16"/>
                <w:szCs w:val="16"/>
                <w:u w:val="none"/>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0</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val="0"/>
          <w:sz w:val="32"/>
          <w:szCs w:val="32"/>
          <w:highlight w:val="none"/>
          <w:lang w:val="en-US" w:eastAsia="zh-CN"/>
        </w:rPr>
      </w:pPr>
      <w:bookmarkStart w:id="0" w:name="_GoBack"/>
      <w:r>
        <w:rPr>
          <w:rFonts w:hint="eastAsia" w:ascii="仿宋" w:hAnsi="仿宋" w:eastAsia="仿宋" w:cs="仿宋"/>
          <w:b w:val="0"/>
          <w:bCs w:val="0"/>
          <w:sz w:val="32"/>
          <w:szCs w:val="32"/>
          <w:highlight w:val="none"/>
          <w:lang w:val="en-US" w:eastAsia="zh-CN"/>
        </w:rPr>
        <w:t>（图表制作：深圳市房地产中介协会）</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二、“房价上涨”背后存猫腻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（一）房源报价相比成交价，更容易被人为操控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事实上，</w:t>
      </w:r>
      <w:r>
        <w:rPr>
          <w:rFonts w:hint="eastAsia" w:ascii="仿宋" w:hAnsi="仿宋" w:eastAsia="仿宋" w:cs="仿宋"/>
          <w:b/>
          <w:bCs/>
          <w:sz w:val="32"/>
          <w:szCs w:val="32"/>
          <w:highlight w:val="none"/>
          <w:lang w:val="en-US" w:eastAsia="zh-CN"/>
        </w:rPr>
        <w:t>成交价的变动受楼市调控政策、供需关系、宏观货币政策以及市场预期等综合因素的影响，市场规律在成交价的变动过程中，起到了主导作用</w:t>
      </w:r>
      <w:r>
        <w:rPr>
          <w:rFonts w:hint="eastAsia" w:ascii="仿宋" w:hAnsi="仿宋" w:eastAsia="仿宋" w:cs="仿宋"/>
          <w:b w:val="0"/>
          <w:bCs w:val="0"/>
          <w:sz w:val="32"/>
          <w:szCs w:val="32"/>
          <w:highlight w:val="none"/>
          <w:lang w:val="en-US" w:eastAsia="zh-CN"/>
        </w:rPr>
        <w:t>。因而在楼市调控期间，成交量相对低位平稳的阶段，成交价的变化不大，波动范围也有限。但对于房源报价而言，由于</w:t>
      </w:r>
      <w:r>
        <w:rPr>
          <w:rFonts w:hint="eastAsia" w:ascii="仿宋" w:hAnsi="仿宋" w:eastAsia="仿宋" w:cs="仿宋"/>
          <w:b/>
          <w:bCs/>
          <w:sz w:val="32"/>
          <w:szCs w:val="32"/>
          <w:highlight w:val="none"/>
          <w:lang w:val="en-US" w:eastAsia="zh-CN"/>
        </w:rPr>
        <w:t>业主调整房源报价较为随意</w:t>
      </w:r>
      <w:r>
        <w:rPr>
          <w:rFonts w:hint="eastAsia" w:ascii="仿宋" w:hAnsi="仿宋" w:eastAsia="仿宋" w:cs="仿宋"/>
          <w:b w:val="0"/>
          <w:bCs w:val="0"/>
          <w:sz w:val="32"/>
          <w:szCs w:val="32"/>
          <w:highlight w:val="none"/>
          <w:lang w:val="en-US" w:eastAsia="zh-CN"/>
        </w:rPr>
        <w:t>，</w:t>
      </w:r>
      <w:r>
        <w:rPr>
          <w:rFonts w:hint="eastAsia" w:ascii="仿宋" w:hAnsi="仿宋" w:eastAsia="仿宋" w:cs="仿宋"/>
          <w:b/>
          <w:bCs/>
          <w:sz w:val="32"/>
          <w:szCs w:val="32"/>
          <w:highlight w:val="none"/>
          <w:lang w:val="en-US" w:eastAsia="zh-CN"/>
        </w:rPr>
        <w:t>且不受上述因素的实质性限制</w:t>
      </w:r>
      <w:r>
        <w:rPr>
          <w:rFonts w:hint="eastAsia" w:ascii="仿宋" w:hAnsi="仿宋" w:eastAsia="仿宋" w:cs="仿宋"/>
          <w:b w:val="0"/>
          <w:bCs w:val="0"/>
          <w:sz w:val="32"/>
          <w:szCs w:val="32"/>
          <w:highlight w:val="none"/>
          <w:lang w:val="en-US" w:eastAsia="zh-CN"/>
        </w:rPr>
        <w:t>，同时，房源报价持续性地集体上涨更容易被部分自媒体断章取义地摘取，形成市场氛围的传导效应。因此，现阶段房源报价对市场情绪的影响要比成交价更为直接与迅速。</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（二）房源报价与成交价的概念被人为“混淆”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众所周知，深圳新房“打新潮”中的“价格倒挂”，本质上而言就是</w:t>
      </w:r>
      <w:r>
        <w:rPr>
          <w:rFonts w:hint="eastAsia" w:ascii="仿宋" w:hAnsi="仿宋" w:eastAsia="仿宋" w:cs="仿宋"/>
          <w:b/>
          <w:bCs/>
          <w:sz w:val="32"/>
          <w:szCs w:val="32"/>
          <w:lang w:val="en-US" w:eastAsia="zh-CN"/>
        </w:rPr>
        <w:t>新房成交价（备案价格）与项目周边二手房房源报价之间存在较大的价差，</w:t>
      </w:r>
      <w:r>
        <w:rPr>
          <w:rFonts w:hint="eastAsia" w:ascii="仿宋" w:hAnsi="仿宋" w:eastAsia="仿宋" w:cs="仿宋"/>
          <w:b w:val="0"/>
          <w:bCs w:val="0"/>
          <w:sz w:val="32"/>
          <w:szCs w:val="32"/>
          <w:highlight w:val="none"/>
          <w:lang w:val="en-US" w:eastAsia="zh-CN"/>
        </w:rPr>
        <w:t xml:space="preserve">才导致大伙如此“趋之若鹜”。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b w:val="0"/>
          <w:bCs w:val="0"/>
          <w:sz w:val="32"/>
          <w:szCs w:val="32"/>
          <w:highlight w:val="none"/>
          <w:lang w:val="en-US" w:eastAsia="zh-CN"/>
        </w:rPr>
        <w:t>事实上，这种成交价与房源报价之间的巨大价差在我市二手房市场也同样存在。根据深房中协统计，</w:t>
      </w:r>
      <w:r>
        <w:rPr>
          <w:rFonts w:hint="eastAsia" w:ascii="仿宋" w:hAnsi="仿宋" w:eastAsia="仿宋" w:cs="仿宋"/>
          <w:b/>
          <w:bCs/>
          <w:sz w:val="32"/>
          <w:szCs w:val="32"/>
          <w:highlight w:val="none"/>
          <w:lang w:val="en-US" w:eastAsia="zh-CN"/>
        </w:rPr>
        <w:t>全市范围二手房成交均价与房源平均报价之间的价差竟高达每平米两千多元！</w:t>
      </w:r>
      <w:r>
        <w:rPr>
          <w:rFonts w:hint="eastAsia" w:ascii="仿宋" w:hAnsi="仿宋" w:eastAsia="仿宋" w:cs="仿宋"/>
          <w:b w:val="0"/>
          <w:bCs w:val="0"/>
          <w:sz w:val="32"/>
          <w:szCs w:val="32"/>
          <w:highlight w:val="none"/>
          <w:lang w:val="en-US" w:eastAsia="zh-CN"/>
        </w:rPr>
        <w:t>因此，只要消费者理性思考与观察下，便可发现这“价差”假象背后产生的原因。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val="0"/>
          <w:bCs w:val="0"/>
          <w:sz w:val="32"/>
          <w:szCs w:val="32"/>
          <w:highlight w:val="none"/>
          <w:lang w:val="en-US" w:eastAsia="zh-CN"/>
        </w:rPr>
        <w:t>可以说，房源报价与成交价两者概念有意或无意地被“混淆”，在相当大程度上而言，不仅误导了消费者，同时，还对我市的楼市调控一盘棋造成了极为负面的影响。对此，深房中协郑重提醒消费者应擦亮双眼，切勿被部分舆论宣扬的</w:t>
      </w:r>
      <w:r>
        <w:rPr>
          <w:rFonts w:hint="eastAsia" w:ascii="仿宋" w:hAnsi="仿宋" w:eastAsia="仿宋" w:cs="仿宋"/>
          <w:b/>
          <w:bCs/>
          <w:sz w:val="32"/>
          <w:szCs w:val="32"/>
          <w:highlight w:val="none"/>
          <w:lang w:val="en-US" w:eastAsia="zh-CN"/>
        </w:rPr>
        <w:t>“深圳房价持续大涨”的言论所迷惑</w:t>
      </w:r>
      <w:r>
        <w:rPr>
          <w:rFonts w:hint="eastAsia" w:ascii="仿宋" w:hAnsi="仿宋" w:eastAsia="仿宋" w:cs="仿宋"/>
          <w:b w:val="0"/>
          <w:bCs w:val="0"/>
          <w:sz w:val="32"/>
          <w:szCs w:val="32"/>
          <w:highlight w:val="none"/>
          <w:lang w:val="en-US" w:eastAsia="zh-CN"/>
        </w:rPr>
        <w:t>，在选房、看房的时候，要多比较，多观察，对所关注的楼盘房源，除了做相同片区类似房源的对比之外，</w:t>
      </w:r>
      <w:r>
        <w:rPr>
          <w:rFonts w:hint="eastAsia" w:ascii="仿宋" w:hAnsi="仿宋" w:eastAsia="仿宋" w:cs="仿宋"/>
          <w:b/>
          <w:bCs/>
          <w:sz w:val="32"/>
          <w:szCs w:val="32"/>
          <w:highlight w:val="none"/>
          <w:lang w:val="en-US" w:eastAsia="zh-CN"/>
        </w:rPr>
        <w:t>还可以对其历史成交量与成交价格进行比对。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bCs w:val="0"/>
          <w:sz w:val="32"/>
          <w:szCs w:val="32"/>
          <w:highlight w:val="none"/>
          <w:lang w:val="en-US" w:eastAsia="zh-CN"/>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01EA5"/>
    <w:rsid w:val="0065437F"/>
    <w:rsid w:val="006D2D5E"/>
    <w:rsid w:val="00777DD3"/>
    <w:rsid w:val="0097781A"/>
    <w:rsid w:val="00E96741"/>
    <w:rsid w:val="01747EF2"/>
    <w:rsid w:val="01795559"/>
    <w:rsid w:val="01970642"/>
    <w:rsid w:val="019E0167"/>
    <w:rsid w:val="019F338A"/>
    <w:rsid w:val="01B9051C"/>
    <w:rsid w:val="01FB1910"/>
    <w:rsid w:val="021D3AEC"/>
    <w:rsid w:val="02373B90"/>
    <w:rsid w:val="024F5572"/>
    <w:rsid w:val="02D976B1"/>
    <w:rsid w:val="032E5FD5"/>
    <w:rsid w:val="034E652D"/>
    <w:rsid w:val="03891F3B"/>
    <w:rsid w:val="0398594B"/>
    <w:rsid w:val="03E20890"/>
    <w:rsid w:val="045A5AE8"/>
    <w:rsid w:val="046E64A3"/>
    <w:rsid w:val="04D1116E"/>
    <w:rsid w:val="051C3D45"/>
    <w:rsid w:val="05647A08"/>
    <w:rsid w:val="05936609"/>
    <w:rsid w:val="06236439"/>
    <w:rsid w:val="06450D94"/>
    <w:rsid w:val="067275BA"/>
    <w:rsid w:val="068B0AC5"/>
    <w:rsid w:val="06D93F5D"/>
    <w:rsid w:val="06ED3036"/>
    <w:rsid w:val="06F6747B"/>
    <w:rsid w:val="06F73D08"/>
    <w:rsid w:val="070624A4"/>
    <w:rsid w:val="078E334A"/>
    <w:rsid w:val="07922A3F"/>
    <w:rsid w:val="079A76CB"/>
    <w:rsid w:val="07CA23E1"/>
    <w:rsid w:val="07CD5C10"/>
    <w:rsid w:val="07DF7F08"/>
    <w:rsid w:val="07E8281C"/>
    <w:rsid w:val="086E2C8D"/>
    <w:rsid w:val="08B61BD0"/>
    <w:rsid w:val="08E93145"/>
    <w:rsid w:val="08F92EE2"/>
    <w:rsid w:val="09003D4E"/>
    <w:rsid w:val="0904612E"/>
    <w:rsid w:val="092573D0"/>
    <w:rsid w:val="095E361C"/>
    <w:rsid w:val="0970503E"/>
    <w:rsid w:val="09810BD5"/>
    <w:rsid w:val="09992161"/>
    <w:rsid w:val="09B22287"/>
    <w:rsid w:val="09C16352"/>
    <w:rsid w:val="09F30999"/>
    <w:rsid w:val="0A7A4014"/>
    <w:rsid w:val="0A871F29"/>
    <w:rsid w:val="0AA8710A"/>
    <w:rsid w:val="0B06563F"/>
    <w:rsid w:val="0B156EE0"/>
    <w:rsid w:val="0B594AE0"/>
    <w:rsid w:val="0BB265A6"/>
    <w:rsid w:val="0BBF26C9"/>
    <w:rsid w:val="0BCA7870"/>
    <w:rsid w:val="0BFC1242"/>
    <w:rsid w:val="0C1D3818"/>
    <w:rsid w:val="0C2566DD"/>
    <w:rsid w:val="0C420E91"/>
    <w:rsid w:val="0C636EA6"/>
    <w:rsid w:val="0C663697"/>
    <w:rsid w:val="0C802A0D"/>
    <w:rsid w:val="0C891C20"/>
    <w:rsid w:val="0C9436D3"/>
    <w:rsid w:val="0CA53D17"/>
    <w:rsid w:val="0CC614B3"/>
    <w:rsid w:val="0CC84F07"/>
    <w:rsid w:val="0CE304B3"/>
    <w:rsid w:val="0CF12642"/>
    <w:rsid w:val="0D440428"/>
    <w:rsid w:val="0D7E607E"/>
    <w:rsid w:val="0DA43DF9"/>
    <w:rsid w:val="0DBA397C"/>
    <w:rsid w:val="0DC77155"/>
    <w:rsid w:val="0E0B5B6F"/>
    <w:rsid w:val="0E2B7E7F"/>
    <w:rsid w:val="0E5E5F7E"/>
    <w:rsid w:val="0E712737"/>
    <w:rsid w:val="0EC262BB"/>
    <w:rsid w:val="0EF852FE"/>
    <w:rsid w:val="0EFE33CB"/>
    <w:rsid w:val="0F171518"/>
    <w:rsid w:val="0F193A06"/>
    <w:rsid w:val="0F6D2FD7"/>
    <w:rsid w:val="0F73761F"/>
    <w:rsid w:val="0F7B6922"/>
    <w:rsid w:val="0F99595A"/>
    <w:rsid w:val="0FED6F1A"/>
    <w:rsid w:val="0FFA1551"/>
    <w:rsid w:val="102D3C66"/>
    <w:rsid w:val="109D1AEA"/>
    <w:rsid w:val="10DC3264"/>
    <w:rsid w:val="112E480E"/>
    <w:rsid w:val="11543E2D"/>
    <w:rsid w:val="11832279"/>
    <w:rsid w:val="11B3197E"/>
    <w:rsid w:val="11D04044"/>
    <w:rsid w:val="11EB423D"/>
    <w:rsid w:val="12065421"/>
    <w:rsid w:val="1234002D"/>
    <w:rsid w:val="12E27052"/>
    <w:rsid w:val="13C912CF"/>
    <w:rsid w:val="14414DE9"/>
    <w:rsid w:val="14856CC0"/>
    <w:rsid w:val="15A11C67"/>
    <w:rsid w:val="15B154F0"/>
    <w:rsid w:val="15B8219B"/>
    <w:rsid w:val="15BB2B34"/>
    <w:rsid w:val="15CB724E"/>
    <w:rsid w:val="15CE5426"/>
    <w:rsid w:val="15D26954"/>
    <w:rsid w:val="15D36EB7"/>
    <w:rsid w:val="15D84CB5"/>
    <w:rsid w:val="163F3866"/>
    <w:rsid w:val="166F2041"/>
    <w:rsid w:val="16726E32"/>
    <w:rsid w:val="16A87EF7"/>
    <w:rsid w:val="16B45F3A"/>
    <w:rsid w:val="16C17CE0"/>
    <w:rsid w:val="16EE24AB"/>
    <w:rsid w:val="171252A5"/>
    <w:rsid w:val="17A524A5"/>
    <w:rsid w:val="18217D85"/>
    <w:rsid w:val="185A5B4A"/>
    <w:rsid w:val="18806043"/>
    <w:rsid w:val="188C148B"/>
    <w:rsid w:val="18D23370"/>
    <w:rsid w:val="18E53C34"/>
    <w:rsid w:val="19285761"/>
    <w:rsid w:val="196115F3"/>
    <w:rsid w:val="19BC50F4"/>
    <w:rsid w:val="1A033B07"/>
    <w:rsid w:val="1A292D5B"/>
    <w:rsid w:val="1A6349F5"/>
    <w:rsid w:val="1A965134"/>
    <w:rsid w:val="1AC5550D"/>
    <w:rsid w:val="1AE37390"/>
    <w:rsid w:val="1AE776E5"/>
    <w:rsid w:val="1B887D9C"/>
    <w:rsid w:val="1C325928"/>
    <w:rsid w:val="1C795EE3"/>
    <w:rsid w:val="1CAF7612"/>
    <w:rsid w:val="1D3A5F19"/>
    <w:rsid w:val="1D4825E0"/>
    <w:rsid w:val="1D672C11"/>
    <w:rsid w:val="1D6B732B"/>
    <w:rsid w:val="1D9A1D6C"/>
    <w:rsid w:val="1D9F7FED"/>
    <w:rsid w:val="1E3316ED"/>
    <w:rsid w:val="1E540B1F"/>
    <w:rsid w:val="1E921212"/>
    <w:rsid w:val="1EF95841"/>
    <w:rsid w:val="1F064734"/>
    <w:rsid w:val="1F6C5A4B"/>
    <w:rsid w:val="1F891F8F"/>
    <w:rsid w:val="1FA21BD3"/>
    <w:rsid w:val="1FB464F9"/>
    <w:rsid w:val="1FFD5D84"/>
    <w:rsid w:val="2039663E"/>
    <w:rsid w:val="207E2283"/>
    <w:rsid w:val="20B86253"/>
    <w:rsid w:val="20D11536"/>
    <w:rsid w:val="21121548"/>
    <w:rsid w:val="214522B6"/>
    <w:rsid w:val="217802B9"/>
    <w:rsid w:val="21A7700F"/>
    <w:rsid w:val="21C720C9"/>
    <w:rsid w:val="21CB1718"/>
    <w:rsid w:val="21F26F50"/>
    <w:rsid w:val="220771D5"/>
    <w:rsid w:val="221966B1"/>
    <w:rsid w:val="223A7EDF"/>
    <w:rsid w:val="2251023B"/>
    <w:rsid w:val="22600A2F"/>
    <w:rsid w:val="2292537E"/>
    <w:rsid w:val="22A026DD"/>
    <w:rsid w:val="22D75042"/>
    <w:rsid w:val="23244360"/>
    <w:rsid w:val="232A6376"/>
    <w:rsid w:val="235E43FB"/>
    <w:rsid w:val="24576307"/>
    <w:rsid w:val="24576348"/>
    <w:rsid w:val="245B7211"/>
    <w:rsid w:val="24603289"/>
    <w:rsid w:val="251F5BB3"/>
    <w:rsid w:val="25363BFF"/>
    <w:rsid w:val="254C05D8"/>
    <w:rsid w:val="260A3701"/>
    <w:rsid w:val="2646383B"/>
    <w:rsid w:val="26AA77D8"/>
    <w:rsid w:val="26C21D8F"/>
    <w:rsid w:val="26F3782F"/>
    <w:rsid w:val="270465E1"/>
    <w:rsid w:val="274D6E6F"/>
    <w:rsid w:val="27855EA4"/>
    <w:rsid w:val="285D3E1B"/>
    <w:rsid w:val="28BF41EA"/>
    <w:rsid w:val="28C62477"/>
    <w:rsid w:val="28D05A80"/>
    <w:rsid w:val="28D61D92"/>
    <w:rsid w:val="28F164E8"/>
    <w:rsid w:val="293479C4"/>
    <w:rsid w:val="297B5AE5"/>
    <w:rsid w:val="29BC3091"/>
    <w:rsid w:val="29C2087C"/>
    <w:rsid w:val="29D822C0"/>
    <w:rsid w:val="29F67799"/>
    <w:rsid w:val="2A27688F"/>
    <w:rsid w:val="2A2D0E8A"/>
    <w:rsid w:val="2A4A4D1C"/>
    <w:rsid w:val="2AAE06BB"/>
    <w:rsid w:val="2ABA2A8D"/>
    <w:rsid w:val="2B0750EA"/>
    <w:rsid w:val="2B1270F2"/>
    <w:rsid w:val="2B370AB2"/>
    <w:rsid w:val="2B8518B3"/>
    <w:rsid w:val="2BB7373A"/>
    <w:rsid w:val="2C03015F"/>
    <w:rsid w:val="2C5A0AF1"/>
    <w:rsid w:val="2CA60B42"/>
    <w:rsid w:val="2D1256B5"/>
    <w:rsid w:val="2D186181"/>
    <w:rsid w:val="2D2D1A2A"/>
    <w:rsid w:val="2D9A5418"/>
    <w:rsid w:val="2DDD23AB"/>
    <w:rsid w:val="2E076C79"/>
    <w:rsid w:val="2E6F2F0D"/>
    <w:rsid w:val="2E9172F7"/>
    <w:rsid w:val="2EC97B41"/>
    <w:rsid w:val="2F1F3DD2"/>
    <w:rsid w:val="2F276AD1"/>
    <w:rsid w:val="2F373A23"/>
    <w:rsid w:val="2F433A92"/>
    <w:rsid w:val="2F704284"/>
    <w:rsid w:val="2F8F23ED"/>
    <w:rsid w:val="2FA44AC1"/>
    <w:rsid w:val="2FDE5AE6"/>
    <w:rsid w:val="2FF66A61"/>
    <w:rsid w:val="302154B1"/>
    <w:rsid w:val="302936AE"/>
    <w:rsid w:val="309D5A3F"/>
    <w:rsid w:val="30DC63C6"/>
    <w:rsid w:val="30E4066B"/>
    <w:rsid w:val="30F37B74"/>
    <w:rsid w:val="310B29E1"/>
    <w:rsid w:val="31701A99"/>
    <w:rsid w:val="317A1948"/>
    <w:rsid w:val="31974A0D"/>
    <w:rsid w:val="32004E11"/>
    <w:rsid w:val="32244773"/>
    <w:rsid w:val="322B41EF"/>
    <w:rsid w:val="32454E50"/>
    <w:rsid w:val="324751C8"/>
    <w:rsid w:val="32781428"/>
    <w:rsid w:val="32CF06D8"/>
    <w:rsid w:val="32F76AE8"/>
    <w:rsid w:val="330E341D"/>
    <w:rsid w:val="33115A41"/>
    <w:rsid w:val="334C740F"/>
    <w:rsid w:val="33CF6F69"/>
    <w:rsid w:val="33F41C5D"/>
    <w:rsid w:val="342B4496"/>
    <w:rsid w:val="3440286C"/>
    <w:rsid w:val="345A76CE"/>
    <w:rsid w:val="34840E61"/>
    <w:rsid w:val="348C3656"/>
    <w:rsid w:val="351E0D36"/>
    <w:rsid w:val="35394C6F"/>
    <w:rsid w:val="353F3504"/>
    <w:rsid w:val="355A4C33"/>
    <w:rsid w:val="355F4A2D"/>
    <w:rsid w:val="35602FD4"/>
    <w:rsid w:val="35716454"/>
    <w:rsid w:val="35A5713D"/>
    <w:rsid w:val="35C94728"/>
    <w:rsid w:val="35EB6D63"/>
    <w:rsid w:val="35F81AB2"/>
    <w:rsid w:val="35FE7A44"/>
    <w:rsid w:val="36473704"/>
    <w:rsid w:val="366208E8"/>
    <w:rsid w:val="36915717"/>
    <w:rsid w:val="36CD4DDE"/>
    <w:rsid w:val="370E7ECD"/>
    <w:rsid w:val="373258BF"/>
    <w:rsid w:val="375A33F4"/>
    <w:rsid w:val="37670738"/>
    <w:rsid w:val="37686216"/>
    <w:rsid w:val="376E7645"/>
    <w:rsid w:val="37856AC3"/>
    <w:rsid w:val="37C84D57"/>
    <w:rsid w:val="37DE0C23"/>
    <w:rsid w:val="37EB421F"/>
    <w:rsid w:val="38076C4A"/>
    <w:rsid w:val="38572701"/>
    <w:rsid w:val="389B0E4B"/>
    <w:rsid w:val="389B0FCE"/>
    <w:rsid w:val="38A35FF9"/>
    <w:rsid w:val="38A56C9D"/>
    <w:rsid w:val="38CB68EA"/>
    <w:rsid w:val="38CF7664"/>
    <w:rsid w:val="38D45498"/>
    <w:rsid w:val="395B3F97"/>
    <w:rsid w:val="396A659B"/>
    <w:rsid w:val="39835833"/>
    <w:rsid w:val="39AF4002"/>
    <w:rsid w:val="3A091201"/>
    <w:rsid w:val="3A3D1981"/>
    <w:rsid w:val="3A5A243D"/>
    <w:rsid w:val="3A9344DD"/>
    <w:rsid w:val="3A9C5060"/>
    <w:rsid w:val="3AAA1DED"/>
    <w:rsid w:val="3B1F0564"/>
    <w:rsid w:val="3B3132C7"/>
    <w:rsid w:val="3B731916"/>
    <w:rsid w:val="3BAC7BEA"/>
    <w:rsid w:val="3BB00C21"/>
    <w:rsid w:val="3BB016F5"/>
    <w:rsid w:val="3BBB4C79"/>
    <w:rsid w:val="3BCD5977"/>
    <w:rsid w:val="3C121D20"/>
    <w:rsid w:val="3C5A6AA1"/>
    <w:rsid w:val="3C7C6A21"/>
    <w:rsid w:val="3C9A5475"/>
    <w:rsid w:val="3D091544"/>
    <w:rsid w:val="3D2F670A"/>
    <w:rsid w:val="3D3709F1"/>
    <w:rsid w:val="3D545381"/>
    <w:rsid w:val="3D56045C"/>
    <w:rsid w:val="3D5F502F"/>
    <w:rsid w:val="3D8C6CE5"/>
    <w:rsid w:val="3D920E2B"/>
    <w:rsid w:val="3DA11C85"/>
    <w:rsid w:val="3DAE5355"/>
    <w:rsid w:val="3DC61BD1"/>
    <w:rsid w:val="3DE67383"/>
    <w:rsid w:val="3E207055"/>
    <w:rsid w:val="3E454750"/>
    <w:rsid w:val="3E511387"/>
    <w:rsid w:val="3E623AB1"/>
    <w:rsid w:val="3E862BEB"/>
    <w:rsid w:val="3EAE48CD"/>
    <w:rsid w:val="3EB7255F"/>
    <w:rsid w:val="3F096C09"/>
    <w:rsid w:val="3F716281"/>
    <w:rsid w:val="3F7A58FA"/>
    <w:rsid w:val="3FFF47D8"/>
    <w:rsid w:val="402A0E07"/>
    <w:rsid w:val="40710BA5"/>
    <w:rsid w:val="407A4E46"/>
    <w:rsid w:val="40E20DC8"/>
    <w:rsid w:val="41611304"/>
    <w:rsid w:val="418764D2"/>
    <w:rsid w:val="41911686"/>
    <w:rsid w:val="41A03FE9"/>
    <w:rsid w:val="41C4556C"/>
    <w:rsid w:val="41F6459C"/>
    <w:rsid w:val="42353ED1"/>
    <w:rsid w:val="42783611"/>
    <w:rsid w:val="42AD6B8B"/>
    <w:rsid w:val="42B110A9"/>
    <w:rsid w:val="42C36483"/>
    <w:rsid w:val="42D452C3"/>
    <w:rsid w:val="43054575"/>
    <w:rsid w:val="43506FFA"/>
    <w:rsid w:val="435B0457"/>
    <w:rsid w:val="43716195"/>
    <w:rsid w:val="43D860B4"/>
    <w:rsid w:val="43F160C2"/>
    <w:rsid w:val="43FB062E"/>
    <w:rsid w:val="4400572C"/>
    <w:rsid w:val="44176EA0"/>
    <w:rsid w:val="443A5747"/>
    <w:rsid w:val="44707230"/>
    <w:rsid w:val="447971E9"/>
    <w:rsid w:val="448100A6"/>
    <w:rsid w:val="44C634A9"/>
    <w:rsid w:val="44F94697"/>
    <w:rsid w:val="450477DE"/>
    <w:rsid w:val="452776D8"/>
    <w:rsid w:val="45770D7F"/>
    <w:rsid w:val="457A4928"/>
    <w:rsid w:val="45867664"/>
    <w:rsid w:val="459E68BA"/>
    <w:rsid w:val="459F08B8"/>
    <w:rsid w:val="45B512B8"/>
    <w:rsid w:val="45BF7C29"/>
    <w:rsid w:val="45D15413"/>
    <w:rsid w:val="463354E0"/>
    <w:rsid w:val="46342C9F"/>
    <w:rsid w:val="464B7FF4"/>
    <w:rsid w:val="46561FFB"/>
    <w:rsid w:val="46DF28C9"/>
    <w:rsid w:val="46E71969"/>
    <w:rsid w:val="46FE24D9"/>
    <w:rsid w:val="471F23F8"/>
    <w:rsid w:val="473B288C"/>
    <w:rsid w:val="47431B0B"/>
    <w:rsid w:val="47575E6D"/>
    <w:rsid w:val="47836CA4"/>
    <w:rsid w:val="47944F11"/>
    <w:rsid w:val="479737CD"/>
    <w:rsid w:val="47C11D2C"/>
    <w:rsid w:val="47D02D5B"/>
    <w:rsid w:val="47EA5420"/>
    <w:rsid w:val="4806148D"/>
    <w:rsid w:val="483D69FE"/>
    <w:rsid w:val="484F6576"/>
    <w:rsid w:val="48945B09"/>
    <w:rsid w:val="489E5786"/>
    <w:rsid w:val="48ED1E20"/>
    <w:rsid w:val="4903055F"/>
    <w:rsid w:val="49264AFB"/>
    <w:rsid w:val="492F509F"/>
    <w:rsid w:val="494E7AF0"/>
    <w:rsid w:val="495E048C"/>
    <w:rsid w:val="49B924C8"/>
    <w:rsid w:val="49DA5E06"/>
    <w:rsid w:val="49E6262E"/>
    <w:rsid w:val="4A727756"/>
    <w:rsid w:val="4AC44C44"/>
    <w:rsid w:val="4B2F1274"/>
    <w:rsid w:val="4C034343"/>
    <w:rsid w:val="4C637FD6"/>
    <w:rsid w:val="4C800FD1"/>
    <w:rsid w:val="4C862A79"/>
    <w:rsid w:val="4CA32BA1"/>
    <w:rsid w:val="4CA84036"/>
    <w:rsid w:val="4CD52E54"/>
    <w:rsid w:val="4D201A6D"/>
    <w:rsid w:val="4D6820F7"/>
    <w:rsid w:val="4DE46485"/>
    <w:rsid w:val="4E016949"/>
    <w:rsid w:val="4E161C05"/>
    <w:rsid w:val="4E243ACD"/>
    <w:rsid w:val="4E4B55EF"/>
    <w:rsid w:val="4E625415"/>
    <w:rsid w:val="4E790D0A"/>
    <w:rsid w:val="4E8E4DD9"/>
    <w:rsid w:val="4EF05A61"/>
    <w:rsid w:val="4F550B70"/>
    <w:rsid w:val="4F9D5330"/>
    <w:rsid w:val="4FA775DB"/>
    <w:rsid w:val="50194B6A"/>
    <w:rsid w:val="503308D8"/>
    <w:rsid w:val="50402164"/>
    <w:rsid w:val="504B6D73"/>
    <w:rsid w:val="509B65B8"/>
    <w:rsid w:val="50E938BD"/>
    <w:rsid w:val="50EB531D"/>
    <w:rsid w:val="51002E2D"/>
    <w:rsid w:val="51071B89"/>
    <w:rsid w:val="51256AB8"/>
    <w:rsid w:val="5129289A"/>
    <w:rsid w:val="51730F33"/>
    <w:rsid w:val="517447EF"/>
    <w:rsid w:val="517F34BF"/>
    <w:rsid w:val="51867A1D"/>
    <w:rsid w:val="5189635F"/>
    <w:rsid w:val="51E10C68"/>
    <w:rsid w:val="51EE130E"/>
    <w:rsid w:val="523200EA"/>
    <w:rsid w:val="5279204F"/>
    <w:rsid w:val="529363B6"/>
    <w:rsid w:val="52A53D69"/>
    <w:rsid w:val="52A92D9F"/>
    <w:rsid w:val="52AA5F9F"/>
    <w:rsid w:val="52E159E5"/>
    <w:rsid w:val="52EF5954"/>
    <w:rsid w:val="532471F0"/>
    <w:rsid w:val="5328438D"/>
    <w:rsid w:val="534C48ED"/>
    <w:rsid w:val="53651B9B"/>
    <w:rsid w:val="53B12FD8"/>
    <w:rsid w:val="53BB638C"/>
    <w:rsid w:val="53FA6686"/>
    <w:rsid w:val="54220678"/>
    <w:rsid w:val="542545D7"/>
    <w:rsid w:val="54553B8B"/>
    <w:rsid w:val="54EF6951"/>
    <w:rsid w:val="55176F81"/>
    <w:rsid w:val="551E6AB9"/>
    <w:rsid w:val="55412DA7"/>
    <w:rsid w:val="554F1679"/>
    <w:rsid w:val="55880230"/>
    <w:rsid w:val="558F209B"/>
    <w:rsid w:val="55C15F53"/>
    <w:rsid w:val="55FA6F5F"/>
    <w:rsid w:val="56644477"/>
    <w:rsid w:val="566C46A8"/>
    <w:rsid w:val="569F0951"/>
    <w:rsid w:val="56B71ABD"/>
    <w:rsid w:val="57674B37"/>
    <w:rsid w:val="57685049"/>
    <w:rsid w:val="579A342B"/>
    <w:rsid w:val="57A55ADC"/>
    <w:rsid w:val="57C52A49"/>
    <w:rsid w:val="57D830B0"/>
    <w:rsid w:val="58577975"/>
    <w:rsid w:val="585A2191"/>
    <w:rsid w:val="58945F90"/>
    <w:rsid w:val="590042D7"/>
    <w:rsid w:val="59012842"/>
    <w:rsid w:val="592331D3"/>
    <w:rsid w:val="594631A5"/>
    <w:rsid w:val="599F2A24"/>
    <w:rsid w:val="59C44585"/>
    <w:rsid w:val="59C91716"/>
    <w:rsid w:val="5A3F1921"/>
    <w:rsid w:val="5A471874"/>
    <w:rsid w:val="5B4C1F2C"/>
    <w:rsid w:val="5B895515"/>
    <w:rsid w:val="5BBC06A8"/>
    <w:rsid w:val="5BC119BA"/>
    <w:rsid w:val="5BCC2799"/>
    <w:rsid w:val="5C0E189B"/>
    <w:rsid w:val="5C1E3502"/>
    <w:rsid w:val="5CE2659A"/>
    <w:rsid w:val="5D4F6C74"/>
    <w:rsid w:val="5DBA119C"/>
    <w:rsid w:val="5DC95FA5"/>
    <w:rsid w:val="5E74322E"/>
    <w:rsid w:val="5EB6764F"/>
    <w:rsid w:val="5EE12DF7"/>
    <w:rsid w:val="5F394D78"/>
    <w:rsid w:val="5F4665DC"/>
    <w:rsid w:val="5F495814"/>
    <w:rsid w:val="5F560FEB"/>
    <w:rsid w:val="5F7756A8"/>
    <w:rsid w:val="5F7D486A"/>
    <w:rsid w:val="5FA87D87"/>
    <w:rsid w:val="5FFF3F7E"/>
    <w:rsid w:val="6012292B"/>
    <w:rsid w:val="603B6E5F"/>
    <w:rsid w:val="604B651F"/>
    <w:rsid w:val="604B77AA"/>
    <w:rsid w:val="60A21183"/>
    <w:rsid w:val="60CA435C"/>
    <w:rsid w:val="60D87D67"/>
    <w:rsid w:val="61107C2E"/>
    <w:rsid w:val="6115473B"/>
    <w:rsid w:val="615B335C"/>
    <w:rsid w:val="6182652F"/>
    <w:rsid w:val="61C63AFF"/>
    <w:rsid w:val="61CD7785"/>
    <w:rsid w:val="61D40A6D"/>
    <w:rsid w:val="61EB45B4"/>
    <w:rsid w:val="621703CF"/>
    <w:rsid w:val="621A2CAB"/>
    <w:rsid w:val="6252696F"/>
    <w:rsid w:val="62774BEB"/>
    <w:rsid w:val="628423BD"/>
    <w:rsid w:val="629E3C41"/>
    <w:rsid w:val="63052C3D"/>
    <w:rsid w:val="632C4236"/>
    <w:rsid w:val="633E4A47"/>
    <w:rsid w:val="634625F7"/>
    <w:rsid w:val="63623DDF"/>
    <w:rsid w:val="63A0624F"/>
    <w:rsid w:val="63A70EBB"/>
    <w:rsid w:val="63CD267D"/>
    <w:rsid w:val="63DD5C02"/>
    <w:rsid w:val="64003D92"/>
    <w:rsid w:val="64301C2F"/>
    <w:rsid w:val="64377B92"/>
    <w:rsid w:val="64526FCD"/>
    <w:rsid w:val="64663095"/>
    <w:rsid w:val="646763EF"/>
    <w:rsid w:val="64B807C3"/>
    <w:rsid w:val="64CA62C5"/>
    <w:rsid w:val="65030ADA"/>
    <w:rsid w:val="650A5A11"/>
    <w:rsid w:val="65B4571E"/>
    <w:rsid w:val="65BD3D52"/>
    <w:rsid w:val="65CB5776"/>
    <w:rsid w:val="65D27E0E"/>
    <w:rsid w:val="662E5539"/>
    <w:rsid w:val="664B333F"/>
    <w:rsid w:val="667D0376"/>
    <w:rsid w:val="66B30F16"/>
    <w:rsid w:val="66C4008C"/>
    <w:rsid w:val="66C5215B"/>
    <w:rsid w:val="66E3545A"/>
    <w:rsid w:val="66F67467"/>
    <w:rsid w:val="66F93A83"/>
    <w:rsid w:val="66FD31F7"/>
    <w:rsid w:val="67035DD3"/>
    <w:rsid w:val="67320C19"/>
    <w:rsid w:val="677A111B"/>
    <w:rsid w:val="67894158"/>
    <w:rsid w:val="6796063F"/>
    <w:rsid w:val="67982C04"/>
    <w:rsid w:val="67DC350B"/>
    <w:rsid w:val="686B6A24"/>
    <w:rsid w:val="686F0CFA"/>
    <w:rsid w:val="687C7968"/>
    <w:rsid w:val="68BC1911"/>
    <w:rsid w:val="68D74866"/>
    <w:rsid w:val="68F67214"/>
    <w:rsid w:val="6903291F"/>
    <w:rsid w:val="69177582"/>
    <w:rsid w:val="692954BB"/>
    <w:rsid w:val="693E609B"/>
    <w:rsid w:val="696A46B5"/>
    <w:rsid w:val="6972648C"/>
    <w:rsid w:val="699C7CA4"/>
    <w:rsid w:val="69A52F67"/>
    <w:rsid w:val="69C2706A"/>
    <w:rsid w:val="69E40CF7"/>
    <w:rsid w:val="69EA4EAB"/>
    <w:rsid w:val="6A3809FC"/>
    <w:rsid w:val="6A4F6757"/>
    <w:rsid w:val="6A8775CF"/>
    <w:rsid w:val="6B3336BE"/>
    <w:rsid w:val="6B3829D3"/>
    <w:rsid w:val="6B6808F1"/>
    <w:rsid w:val="6BC41F36"/>
    <w:rsid w:val="6BE10632"/>
    <w:rsid w:val="6BEB79B9"/>
    <w:rsid w:val="6BF962D9"/>
    <w:rsid w:val="6BFE286F"/>
    <w:rsid w:val="6CBA1407"/>
    <w:rsid w:val="6CF760F0"/>
    <w:rsid w:val="6D98246A"/>
    <w:rsid w:val="6D9E0C00"/>
    <w:rsid w:val="6DA94917"/>
    <w:rsid w:val="6DE31C08"/>
    <w:rsid w:val="6DEF0DBC"/>
    <w:rsid w:val="6E2C2A3C"/>
    <w:rsid w:val="6E596900"/>
    <w:rsid w:val="6E5E7990"/>
    <w:rsid w:val="6E691701"/>
    <w:rsid w:val="6E9C7838"/>
    <w:rsid w:val="6EDF4571"/>
    <w:rsid w:val="6EEB0738"/>
    <w:rsid w:val="6EF935C8"/>
    <w:rsid w:val="6EFB7D1A"/>
    <w:rsid w:val="6F1172D4"/>
    <w:rsid w:val="6F124281"/>
    <w:rsid w:val="6F1F4A68"/>
    <w:rsid w:val="6F5A67D0"/>
    <w:rsid w:val="6F5C06A8"/>
    <w:rsid w:val="6F6A0BF1"/>
    <w:rsid w:val="6FE75CF3"/>
    <w:rsid w:val="6FF2354A"/>
    <w:rsid w:val="70016F88"/>
    <w:rsid w:val="702078AF"/>
    <w:rsid w:val="7097379B"/>
    <w:rsid w:val="70C70D94"/>
    <w:rsid w:val="712E2AA7"/>
    <w:rsid w:val="714E58C4"/>
    <w:rsid w:val="71645572"/>
    <w:rsid w:val="718609C7"/>
    <w:rsid w:val="719F5460"/>
    <w:rsid w:val="71AC6964"/>
    <w:rsid w:val="71BC4408"/>
    <w:rsid w:val="71C0171A"/>
    <w:rsid w:val="72043B18"/>
    <w:rsid w:val="72841810"/>
    <w:rsid w:val="72A00BF4"/>
    <w:rsid w:val="72DB2A7F"/>
    <w:rsid w:val="72EF1EC8"/>
    <w:rsid w:val="7300681E"/>
    <w:rsid w:val="730E4E2F"/>
    <w:rsid w:val="731E6AC4"/>
    <w:rsid w:val="73401F08"/>
    <w:rsid w:val="735779C2"/>
    <w:rsid w:val="73911ED4"/>
    <w:rsid w:val="73E06669"/>
    <w:rsid w:val="740354D0"/>
    <w:rsid w:val="74240561"/>
    <w:rsid w:val="74807953"/>
    <w:rsid w:val="748D7EBB"/>
    <w:rsid w:val="74DC15DB"/>
    <w:rsid w:val="74F61654"/>
    <w:rsid w:val="75B07004"/>
    <w:rsid w:val="75FA7A9C"/>
    <w:rsid w:val="763874FA"/>
    <w:rsid w:val="763A39B6"/>
    <w:rsid w:val="763C348E"/>
    <w:rsid w:val="7645062D"/>
    <w:rsid w:val="765A76B9"/>
    <w:rsid w:val="76900812"/>
    <w:rsid w:val="76F10396"/>
    <w:rsid w:val="770A366A"/>
    <w:rsid w:val="77535AC2"/>
    <w:rsid w:val="77687238"/>
    <w:rsid w:val="778702A2"/>
    <w:rsid w:val="77977E17"/>
    <w:rsid w:val="77A1518A"/>
    <w:rsid w:val="77A16840"/>
    <w:rsid w:val="77C67083"/>
    <w:rsid w:val="77D956D2"/>
    <w:rsid w:val="77EF33DE"/>
    <w:rsid w:val="780154F3"/>
    <w:rsid w:val="781F4ECC"/>
    <w:rsid w:val="78462064"/>
    <w:rsid w:val="784B43C4"/>
    <w:rsid w:val="787063F0"/>
    <w:rsid w:val="78710175"/>
    <w:rsid w:val="7875255E"/>
    <w:rsid w:val="787A4166"/>
    <w:rsid w:val="78F51571"/>
    <w:rsid w:val="78F52ACC"/>
    <w:rsid w:val="792E48D0"/>
    <w:rsid w:val="794A3A37"/>
    <w:rsid w:val="79615212"/>
    <w:rsid w:val="79B45429"/>
    <w:rsid w:val="79CD7B94"/>
    <w:rsid w:val="79F476D2"/>
    <w:rsid w:val="7A0554FA"/>
    <w:rsid w:val="7A0E678C"/>
    <w:rsid w:val="7A212B3C"/>
    <w:rsid w:val="7ACF6B40"/>
    <w:rsid w:val="7AD159B2"/>
    <w:rsid w:val="7B0E3CDC"/>
    <w:rsid w:val="7B40648A"/>
    <w:rsid w:val="7B435146"/>
    <w:rsid w:val="7B6C7C4B"/>
    <w:rsid w:val="7B71094C"/>
    <w:rsid w:val="7B841E62"/>
    <w:rsid w:val="7BC25FD1"/>
    <w:rsid w:val="7C633536"/>
    <w:rsid w:val="7CAC4B04"/>
    <w:rsid w:val="7CD20958"/>
    <w:rsid w:val="7CF07E1C"/>
    <w:rsid w:val="7CFF2302"/>
    <w:rsid w:val="7DB258FE"/>
    <w:rsid w:val="7DF933F2"/>
    <w:rsid w:val="7F0E4B4C"/>
    <w:rsid w:val="7F206C63"/>
    <w:rsid w:val="7F260CDC"/>
    <w:rsid w:val="7F2A78B6"/>
    <w:rsid w:val="7F97105E"/>
    <w:rsid w:val="7F9C3593"/>
    <w:rsid w:val="7FB262EA"/>
    <w:rsid w:val="7FE04836"/>
    <w:rsid w:val="7FF03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 w:type="paragraph" w:styleId="10">
    <w:name w:val="List Paragraph"/>
    <w:basedOn w:val="1"/>
    <w:qFormat/>
    <w:uiPriority w:val="26"/>
    <w:pPr>
      <w:ind w:firstLine="420" w:firstLineChars="200"/>
    </w:pPr>
  </w:style>
  <w:style w:type="paragraph" w:customStyle="1" w:styleId="11">
    <w:name w:val="列出段落1"/>
    <w:basedOn w:val="1"/>
    <w:qFormat/>
    <w:uiPriority w:val="34"/>
    <w:pPr>
      <w:ind w:firstLine="420" w:firstLineChars="200"/>
    </w:pPr>
  </w:style>
  <w:style w:type="character" w:customStyle="1" w:styleId="12">
    <w:name w:val="font41"/>
    <w:basedOn w:val="7"/>
    <w:qFormat/>
    <w:uiPriority w:val="0"/>
    <w:rPr>
      <w:rFonts w:hint="eastAsia" w:ascii="宋体" w:hAnsi="宋体" w:eastAsia="宋体" w:cs="宋体"/>
      <w:b/>
      <w:color w:val="000000"/>
      <w:sz w:val="18"/>
      <w:szCs w:val="18"/>
      <w:u w:val="none"/>
    </w:rPr>
  </w:style>
  <w:style w:type="character" w:customStyle="1" w:styleId="13">
    <w:name w:val="font21"/>
    <w:basedOn w:val="7"/>
    <w:qFormat/>
    <w:uiPriority w:val="0"/>
    <w:rPr>
      <w:rFonts w:hint="eastAsia" w:ascii="宋体" w:hAnsi="宋体" w:eastAsia="宋体" w:cs="宋体"/>
      <w:b/>
      <w:color w:val="FF0000"/>
      <w:sz w:val="18"/>
      <w:szCs w:val="18"/>
      <w:u w:val="none"/>
    </w:rPr>
  </w:style>
  <w:style w:type="character" w:customStyle="1" w:styleId="14">
    <w:name w:val="font31"/>
    <w:basedOn w:val="7"/>
    <w:qFormat/>
    <w:uiPriority w:val="0"/>
    <w:rPr>
      <w:rFonts w:hint="eastAsia" w:ascii="宋体" w:hAnsi="宋体" w:eastAsia="宋体" w:cs="宋体"/>
      <w:b/>
      <w:color w:val="000000"/>
      <w:sz w:val="18"/>
      <w:szCs w:val="18"/>
      <w:u w:val="none"/>
    </w:rPr>
  </w:style>
  <w:style w:type="character" w:customStyle="1" w:styleId="15">
    <w:name w:val="font01"/>
    <w:basedOn w:val="7"/>
    <w:qFormat/>
    <w:uiPriority w:val="0"/>
    <w:rPr>
      <w:rFonts w:hint="eastAsia" w:ascii="宋体" w:hAnsi="宋体" w:eastAsia="宋体" w:cs="宋体"/>
      <w:b/>
      <w:color w:val="FF0000"/>
      <w:sz w:val="18"/>
      <w:szCs w:val="18"/>
      <w:u w:val="none"/>
    </w:rPr>
  </w:style>
  <w:style w:type="character" w:customStyle="1" w:styleId="16">
    <w:name w:val="font51"/>
    <w:basedOn w:val="7"/>
    <w:qFormat/>
    <w:uiPriority w:val="0"/>
    <w:rPr>
      <w:rFonts w:hint="eastAsia" w:ascii="宋体" w:hAnsi="宋体" w:eastAsia="宋体" w:cs="宋体"/>
      <w:b/>
      <w:color w:val="000000"/>
      <w:sz w:val="16"/>
      <w:szCs w:val="1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4590</Words>
  <Characters>4891</Characters>
  <Lines>0</Lines>
  <Paragraphs>0</Paragraphs>
  <TotalTime>22</TotalTime>
  <ScaleCrop>false</ScaleCrop>
  <LinksUpToDate>false</LinksUpToDate>
  <CharactersWithSpaces>4893</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2020-01-31T05:11:00Z</dcterms:created>
  <dc:creator>Administrator</dc:creator>
  <cp:lastModifiedBy>深房中协—华洪</cp:lastModifiedBy>
  <dcterms:modified xsi:type="dcterms:W3CDTF">2020-12-16T08:48:57Z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