
<file path=[Content_Types].xml><?xml version="1.0" encoding="utf-8"?>
<Types xmlns="http://schemas.openxmlformats.org/package/2006/content-types">
  <Default Extension="xml" ContentType="application/xml"/>
  <Default Extension="xlsx" ContentType="application/vnd.openxmlformats-officedocument.spreadsheetml.sheet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olors1.xml" ContentType="application/vnd.ms-office.chartcolorstyle+xml"/>
  <Override PartName="/word/charts/style1.xml" ContentType="application/vnd.ms-office.chartstyl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租房时遇到不讲武德的情况，打工人如何才能“耗子尾汁”？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根据深圳市住建局房地产信息平台公示的商品房成交数据显示，10月份我市共成交4617套一手住宅，环比9月份虽然小幅下降了5.2%，但同比去年同期则大幅上涨73.8%！同时，也是创近4年来，10月份同期一手住宅成交量的新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，总体而言，近期一手住宅市场的成交情况，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可以用“金九银十”来形容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。</w:t>
      </w:r>
    </w:p>
    <w:p>
      <w:pPr>
        <w:ind w:left="0" w:leftChars="0" w:firstLine="419" w:firstLineChars="131"/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anchor distT="0" distB="0" distL="114300" distR="114300" simplePos="0" relativeHeight="252383232" behindDoc="1" locked="0" layoutInCell="1" allowOverlap="1">
            <wp:simplePos x="0" y="0"/>
            <wp:positionH relativeFrom="column">
              <wp:posOffset>869315</wp:posOffset>
            </wp:positionH>
            <wp:positionV relativeFrom="paragraph">
              <wp:posOffset>4445</wp:posOffset>
            </wp:positionV>
            <wp:extent cx="3923030" cy="1899285"/>
            <wp:effectExtent l="4445" t="4445" r="15875" b="20320"/>
            <wp:wrapTight wrapText="bothSides">
              <wp:wrapPolygon>
                <wp:start x="-24" y="-51"/>
                <wp:lineTo x="-24" y="21398"/>
                <wp:lineTo x="21478" y="21398"/>
                <wp:lineTo x="21478" y="-51"/>
                <wp:lineTo x="-24" y="-51"/>
              </wp:wrapPolygon>
            </wp:wrapTight>
            <wp:docPr id="13" name="图表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anchor>
        </w:drawing>
      </w:r>
    </w:p>
    <w:p>
      <w:pPr>
        <w:ind w:left="0" w:leftChars="0" w:firstLine="421" w:firstLineChars="131"/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>
      <w:pPr>
        <w:ind w:left="0" w:leftChars="0" w:firstLine="421" w:firstLineChars="131"/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>
      <w:pPr>
        <w:ind w:left="0" w:leftChars="0" w:firstLine="421" w:firstLineChars="131"/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>
      <w:pPr>
        <w:ind w:left="0" w:leftChars="0" w:firstLine="421" w:firstLineChars="131"/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不过，对于刚来深圳打拼的打工人而言，可能因购房资格以及资金储备尚不到位，还一时无法立马实现购房梦，但是对于打工人来说，只要撸起袖子加油干，那都是迟早的事！但短期而言，租一套适合自己的房子倒是一个不错的解决方案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252384256" behindDoc="1" locked="0" layoutInCell="1" allowOverlap="1">
            <wp:simplePos x="0" y="0"/>
            <wp:positionH relativeFrom="column">
              <wp:posOffset>1176020</wp:posOffset>
            </wp:positionH>
            <wp:positionV relativeFrom="paragraph">
              <wp:posOffset>1270</wp:posOffset>
            </wp:positionV>
            <wp:extent cx="3399155" cy="2004695"/>
            <wp:effectExtent l="0" t="0" r="0" b="0"/>
            <wp:wrapTight wrapText="bothSides">
              <wp:wrapPolygon>
                <wp:start x="0" y="0"/>
                <wp:lineTo x="0" y="21347"/>
                <wp:lineTo x="21426" y="21347"/>
                <wp:lineTo x="21426" y="0"/>
                <wp:lineTo x="0" y="0"/>
              </wp:wrapPolygon>
            </wp:wrapTight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99155" cy="200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然而，在租房环节，对于许多“打工人”而言，如何甄别真房源，如何选择合规中介接受服务，如何规避租赁交易流程中可能存在的各种风险等等一系列问题，却是摆在眼前的一大难题！</w:t>
      </w:r>
    </w:p>
    <w:p>
      <w:pPr>
        <w:ind w:left="0" w:leftChars="0" w:firstLine="275" w:firstLineChars="131"/>
        <w:jc w:val="center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252385280" behindDoc="1" locked="0" layoutInCell="1" allowOverlap="1">
            <wp:simplePos x="0" y="0"/>
            <wp:positionH relativeFrom="column">
              <wp:posOffset>1849120</wp:posOffset>
            </wp:positionH>
            <wp:positionV relativeFrom="paragraph">
              <wp:posOffset>6350</wp:posOffset>
            </wp:positionV>
            <wp:extent cx="2110105" cy="1958340"/>
            <wp:effectExtent l="0" t="0" r="4445" b="3810"/>
            <wp:wrapTight wrapText="bothSides">
              <wp:wrapPolygon>
                <wp:start x="0" y="0"/>
                <wp:lineTo x="0" y="21432"/>
                <wp:lineTo x="21450" y="21432"/>
                <wp:lineTo x="21450" y="0"/>
                <wp:lineTo x="0" y="0"/>
              </wp:wrapPolygon>
            </wp:wrapTight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10105" cy="195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ind w:left="0" w:leftChars="0" w:firstLine="419" w:firstLineChars="131"/>
        <w:jc w:val="center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419" w:firstLineChars="131"/>
        <w:jc w:val="center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419" w:firstLineChars="131"/>
        <w:jc w:val="center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419" w:firstLineChars="131"/>
        <w:jc w:val="center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为了让更多的打工人租到称心如意的房子，放心工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（搬）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作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（砖）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实现梦想，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深圳房通又使出一必杀技让咱打工人再也不怕租房踩坑了！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那就是深圳房通正式上线“租赁”功能，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在深圳房通发布的所有租房信息，都通过了产权中心库核验，确保房源真实有效，租客信息也经过实名认证，还有全市星级中介人员为您提供专业服务。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253842432" behindDoc="1" locked="0" layoutInCell="1" allowOverlap="1">
            <wp:simplePos x="0" y="0"/>
            <wp:positionH relativeFrom="column">
              <wp:posOffset>1386205</wp:posOffset>
            </wp:positionH>
            <wp:positionV relativeFrom="paragraph">
              <wp:posOffset>29845</wp:posOffset>
            </wp:positionV>
            <wp:extent cx="2795905" cy="3303905"/>
            <wp:effectExtent l="0" t="0" r="4445" b="29845"/>
            <wp:wrapTight wrapText="bothSides">
              <wp:wrapPolygon>
                <wp:start x="0" y="0"/>
                <wp:lineTo x="0" y="21421"/>
                <wp:lineTo x="21487" y="21421"/>
                <wp:lineTo x="21487" y="0"/>
                <wp:lineTo x="0" y="0"/>
              </wp:wrapPolygon>
            </wp:wrapTight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95905" cy="330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ind w:left="0" w:leftChars="0" w:firstLine="1052" w:firstLineChars="329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left="0" w:leftChars="0" w:firstLine="419" w:firstLineChars="131"/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left="0" w:leftChars="0" w:firstLine="419" w:firstLineChars="131"/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left="0" w:leftChars="0" w:firstLine="419" w:firstLineChars="131"/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left="0" w:leftChars="0" w:firstLine="419" w:firstLineChars="131"/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left="0" w:leftChars="0" w:firstLine="419" w:firstLineChars="131"/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租房官方权威合同，为您提示每一处风险！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深圳房通为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您提供深圳市最权威的租赁合同及相关合同，可进行线上签约及合同下载，并为您一一列举合同当中注意事项及风险，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让您签合同前做好风险预知！</w:t>
      </w:r>
    </w:p>
    <w:p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253843456" behindDoc="1" locked="0" layoutInCell="1" allowOverlap="1">
            <wp:simplePos x="0" y="0"/>
            <wp:positionH relativeFrom="column">
              <wp:posOffset>2075180</wp:posOffset>
            </wp:positionH>
            <wp:positionV relativeFrom="paragraph">
              <wp:posOffset>63500</wp:posOffset>
            </wp:positionV>
            <wp:extent cx="1399540" cy="2551430"/>
            <wp:effectExtent l="0" t="0" r="48260" b="58420"/>
            <wp:wrapTight wrapText="bothSides">
              <wp:wrapPolygon>
                <wp:start x="0" y="0"/>
                <wp:lineTo x="0" y="21449"/>
                <wp:lineTo x="21169" y="21449"/>
                <wp:lineTo x="21169" y="0"/>
                <wp:lineTo x="0" y="0"/>
              </wp:wrapPolygon>
            </wp:wrapTight>
            <wp:docPr id="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99540" cy="255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标准租房流程指引，为您提供安全保障！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深圳房通提供可视化租房过程，您可以在不同的租房流程登记相关信息，所有上传的合同文本及租房记录房通都为您保存，遇到纠纷可随时提供证据！</w:t>
      </w:r>
    </w:p>
    <w:p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253844480" behindDoc="1" locked="0" layoutInCell="1" allowOverlap="1">
            <wp:simplePos x="0" y="0"/>
            <wp:positionH relativeFrom="column">
              <wp:posOffset>838835</wp:posOffset>
            </wp:positionH>
            <wp:positionV relativeFrom="paragraph">
              <wp:posOffset>60325</wp:posOffset>
            </wp:positionV>
            <wp:extent cx="1403350" cy="2820670"/>
            <wp:effectExtent l="0" t="0" r="0" b="0"/>
            <wp:wrapTight wrapText="bothSides">
              <wp:wrapPolygon>
                <wp:start x="0" y="0"/>
                <wp:lineTo x="0" y="21444"/>
                <wp:lineTo x="21405" y="21444"/>
                <wp:lineTo x="21405" y="0"/>
                <wp:lineTo x="0" y="0"/>
              </wp:wrapPolygon>
            </wp:wrapTight>
            <wp:docPr id="1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03350" cy="282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3845504" behindDoc="1" locked="0" layoutInCell="1" allowOverlap="1">
            <wp:simplePos x="0" y="0"/>
            <wp:positionH relativeFrom="column">
              <wp:posOffset>3312160</wp:posOffset>
            </wp:positionH>
            <wp:positionV relativeFrom="paragraph">
              <wp:posOffset>151765</wp:posOffset>
            </wp:positionV>
            <wp:extent cx="1633855" cy="2835910"/>
            <wp:effectExtent l="0" t="0" r="0" b="0"/>
            <wp:wrapTight wrapText="bothSides">
              <wp:wrapPolygon>
                <wp:start x="0" y="0"/>
                <wp:lineTo x="0" y="21474"/>
                <wp:lineTo x="21407" y="21474"/>
                <wp:lineTo x="21407" y="0"/>
                <wp:lineTo x="0" y="0"/>
              </wp:wrapPolygon>
            </wp:wrapTight>
            <wp:docPr id="1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33855" cy="283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3846528" behindDoc="0" locked="0" layoutInCell="1" allowOverlap="1">
                <wp:simplePos x="0" y="0"/>
                <wp:positionH relativeFrom="column">
                  <wp:posOffset>2315845</wp:posOffset>
                </wp:positionH>
                <wp:positionV relativeFrom="paragraph">
                  <wp:posOffset>251460</wp:posOffset>
                </wp:positionV>
                <wp:extent cx="730250" cy="0"/>
                <wp:effectExtent l="0" t="85725" r="12700" b="85725"/>
                <wp:wrapNone/>
                <wp:docPr id="14" name="直接箭头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458845" y="7973060"/>
                          <a:ext cx="730250" cy="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82.35pt;margin-top:19.8pt;height:0pt;width:57.5pt;z-index:253846528;mso-width-relative:page;mso-height-relative:page;" filled="f" stroked="t" coordsize="21600,21600" o:gfxdata="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Al4EIM2AAAAAkBAAAPAAAAAAAA&#10;AAEAIAAAACIAAABkcnMvZG93bnJldi54bWxQSwECFAAUAAAACACHTuJAa0dHSRICAADsAwAADgAA&#10;AAAAAAABACAAAAAnAQAAZHJzL2Uyb0RvYy54bWxQSwUGAAAAAAYABgBZAQAAqwUAAAAA&#10;">
                <v:fill on="f" focussize="0,0"/>
                <v:stroke weight="3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</w:p>
    <w:p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随着租赁功能的上线，深圳房通已实现二手房和租赁业务的线上化流程。在未来，我们也将继续努力为您提供更多方便快捷的房产交易服务！</w:t>
      </w:r>
      <w:bookmarkEnd w:id="0"/>
    </w:p>
    <w:p>
      <w:pPr>
        <w:ind w:firstLine="480" w:firstLineChars="200"/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3847552" behindDoc="1" locked="0" layoutInCell="1" allowOverlap="1">
            <wp:simplePos x="0" y="0"/>
            <wp:positionH relativeFrom="column">
              <wp:posOffset>1336675</wp:posOffset>
            </wp:positionH>
            <wp:positionV relativeFrom="paragraph">
              <wp:posOffset>186690</wp:posOffset>
            </wp:positionV>
            <wp:extent cx="2992120" cy="3486150"/>
            <wp:effectExtent l="0" t="0" r="36830" b="38100"/>
            <wp:wrapTight wrapText="bothSides">
              <wp:wrapPolygon>
                <wp:start x="0" y="0"/>
                <wp:lineTo x="0" y="21482"/>
                <wp:lineTo x="21453" y="21482"/>
                <wp:lineTo x="21453" y="0"/>
                <wp:lineTo x="0" y="0"/>
              </wp:wrapPolygon>
            </wp:wrapTight>
            <wp:docPr id="15" name="图片 1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2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92120" cy="34861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jc w:val="center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065733"/>
    <w:rsid w:val="230D6E2A"/>
    <w:rsid w:val="4B094901"/>
    <w:rsid w:val="569C3847"/>
    <w:rsid w:val="5CB34AE7"/>
    <w:rsid w:val="65D33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chart" Target="charts/chart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3" Type="http://schemas.microsoft.com/office/2011/relationships/chartColorStyle" Target="colors1.xml"/><Relationship Id="rId2" Type="http://schemas.microsoft.com/office/2011/relationships/chartStyle" Target="style1.xml"/><Relationship Id="rId1" Type="http://schemas.openxmlformats.org/officeDocument/2006/relationships/package" Target="../embeddings/Workbook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 defTabSz="914400">
              <a:defRPr lang="zh-CN" sz="108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altLang="zh-CN" sz="1080" b="1">
                <a:latin typeface="黑体" panose="02010609060101010101" charset="-122"/>
                <a:ea typeface="黑体" panose="02010609060101010101" charset="-122"/>
                <a:cs typeface="黑体" panose="02010609060101010101" charset="-122"/>
              </a:rPr>
              <a:t>2020</a:t>
            </a:r>
            <a:r>
              <a:rPr altLang="en-US" sz="1080" b="1">
                <a:latin typeface="黑体" panose="02010609060101010101" charset="-122"/>
                <a:ea typeface="黑体" panose="02010609060101010101" charset="-122"/>
                <a:cs typeface="黑体" panose="02010609060101010101" charset="-122"/>
              </a:rPr>
              <a:t>年一手住宅成交套数</a:t>
            </a:r>
            <a:endParaRPr altLang="en-US" sz="1080" b="1">
              <a:latin typeface="黑体" panose="02010609060101010101" charset="-122"/>
              <a:ea typeface="黑体" panose="02010609060101010101" charset="-122"/>
              <a:cs typeface="黑体" panose="02010609060101010101" charset="-122"/>
            </a:endParaRP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0942467151422375"/>
          <c:y val="0.111376109640089"/>
          <c:w val="0.905325170382349"/>
          <c:h val="0.75129993658845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一手住宅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Sheet1!$A$2:$A$11</c:f>
              <c:numCache>
                <c:formatCode>General</c:formatCode>
                <c:ptCount val="10"/>
                <c:pt idx="0">
                  <c:v>202001</c:v>
                </c:pt>
                <c:pt idx="1">
                  <c:v>202002</c:v>
                </c:pt>
                <c:pt idx="2">
                  <c:v>202003</c:v>
                </c:pt>
                <c:pt idx="3">
                  <c:v>202004</c:v>
                </c:pt>
                <c:pt idx="4">
                  <c:v>202005</c:v>
                </c:pt>
                <c:pt idx="5">
                  <c:v>202006</c:v>
                </c:pt>
                <c:pt idx="6">
                  <c:v>202007</c:v>
                </c:pt>
                <c:pt idx="7">
                  <c:v>202008</c:v>
                </c:pt>
                <c:pt idx="8">
                  <c:v>202009</c:v>
                </c:pt>
                <c:pt idx="9">
                  <c:v>202010</c:v>
                </c:pt>
              </c:numCache>
            </c:numRef>
          </c:cat>
          <c:val>
            <c:numRef>
              <c:f>Sheet1!$B$2:$B$11</c:f>
              <c:numCache>
                <c:formatCode>General</c:formatCode>
                <c:ptCount val="10"/>
                <c:pt idx="0">
                  <c:v>2813</c:v>
                </c:pt>
                <c:pt idx="1">
                  <c:v>830</c:v>
                </c:pt>
                <c:pt idx="2">
                  <c:v>3152</c:v>
                </c:pt>
                <c:pt idx="3">
                  <c:v>3446</c:v>
                </c:pt>
                <c:pt idx="4">
                  <c:v>3413</c:v>
                </c:pt>
                <c:pt idx="5">
                  <c:v>3343</c:v>
                </c:pt>
                <c:pt idx="6">
                  <c:v>3478</c:v>
                </c:pt>
                <c:pt idx="7">
                  <c:v>4076</c:v>
                </c:pt>
                <c:pt idx="8">
                  <c:v>4871</c:v>
                </c:pt>
                <c:pt idx="9">
                  <c:v>4617</c:v>
                </c:pt>
              </c:numCache>
            </c:numRef>
          </c:val>
        </c:ser>
        <c:ser>
          <c:idx val="1"/>
          <c:order val="1"/>
          <c:tx>
            <c:strRef>
              <c:f>Sheet1!#REF!</c:f>
              <c:strCache>
                <c:ptCount val="1"/>
                <c:pt idx="0">
                  <c:v/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numRef>
              <c:f>Sheet1!$A$2:$A$11</c:f>
              <c:numCache>
                <c:formatCode>General</c:formatCode>
                <c:ptCount val="10"/>
                <c:pt idx="0">
                  <c:v>202001</c:v>
                </c:pt>
                <c:pt idx="1">
                  <c:v>202002</c:v>
                </c:pt>
                <c:pt idx="2">
                  <c:v>202003</c:v>
                </c:pt>
                <c:pt idx="3">
                  <c:v>202004</c:v>
                </c:pt>
                <c:pt idx="4">
                  <c:v>202005</c:v>
                </c:pt>
                <c:pt idx="5">
                  <c:v>202006</c:v>
                </c:pt>
                <c:pt idx="6">
                  <c:v>202007</c:v>
                </c:pt>
                <c:pt idx="7">
                  <c:v>202008</c:v>
                </c:pt>
                <c:pt idx="8">
                  <c:v>202009</c:v>
                </c:pt>
                <c:pt idx="9">
                  <c:v>202010</c:v>
                </c:pt>
              </c:numCache>
            </c:numRef>
          </c:cat>
          <c:val>
            <c:numRef>
              <c:f>Sheet1!#REF!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2"/>
          <c:order val="2"/>
          <c:tx>
            <c:strRef>
              <c:f>Sheet1!#REF!</c:f>
              <c:strCache>
                <c:ptCount val="1"/>
                <c:pt idx="0">
                  <c:v/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numRef>
              <c:f>Sheet1!$A$2:$A$11</c:f>
              <c:numCache>
                <c:formatCode>General</c:formatCode>
                <c:ptCount val="10"/>
                <c:pt idx="0">
                  <c:v>202001</c:v>
                </c:pt>
                <c:pt idx="1">
                  <c:v>202002</c:v>
                </c:pt>
                <c:pt idx="2">
                  <c:v>202003</c:v>
                </c:pt>
                <c:pt idx="3">
                  <c:v>202004</c:v>
                </c:pt>
                <c:pt idx="4">
                  <c:v>202005</c:v>
                </c:pt>
                <c:pt idx="5">
                  <c:v>202006</c:v>
                </c:pt>
                <c:pt idx="6">
                  <c:v>202007</c:v>
                </c:pt>
                <c:pt idx="7">
                  <c:v>202008</c:v>
                </c:pt>
                <c:pt idx="8">
                  <c:v>202009</c:v>
                </c:pt>
                <c:pt idx="9">
                  <c:v>202010</c:v>
                </c:pt>
              </c:numCache>
            </c:numRef>
          </c:cat>
          <c:val>
            <c:numRef>
              <c:f>Sheet1!#REF!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80761452"/>
        <c:axId val="575663679"/>
      </c:barChart>
      <c:catAx>
        <c:axId val="380761452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575663679"/>
        <c:crosses val="autoZero"/>
        <c:auto val="1"/>
        <c:lblAlgn val="ctr"/>
        <c:lblOffset val="100"/>
        <c:noMultiLvlLbl val="0"/>
      </c:catAx>
      <c:valAx>
        <c:axId val="575663679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807614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zh-CN" sz="900"/>
      </a:pPr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17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manye</dc:creator>
  <cp:lastModifiedBy>深房中协—华洪</cp:lastModifiedBy>
  <dcterms:modified xsi:type="dcterms:W3CDTF">2020-11-27T06:46:42Z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