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firstLine="883" w:firstLineChars="200"/>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深圳市7•15新政影响评估</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随着7</w:t>
      </w:r>
      <w:r>
        <w:rPr>
          <w:rFonts w:hint="eastAsia" w:ascii="宋体" w:hAnsi="宋体" w:eastAsia="宋体" w:cs="宋体"/>
          <w:sz w:val="32"/>
          <w:szCs w:val="32"/>
          <w:lang w:val="en-US" w:eastAsia="zh-CN"/>
        </w:rPr>
        <w:t>•</w:t>
      </w:r>
      <w:r>
        <w:rPr>
          <w:rFonts w:hint="eastAsia" w:ascii="仿宋" w:hAnsi="仿宋" w:eastAsia="仿宋" w:cs="仿宋"/>
          <w:sz w:val="32"/>
          <w:szCs w:val="32"/>
          <w:lang w:val="en-US" w:eastAsia="zh-CN"/>
        </w:rPr>
        <w:t>15新政的满月，在经历了短暂剧烈的下滑行情后，8月份的市场逐渐趋于平稳，但随着新政效果的持续“发力”，新政对楼市成交结构方面的影响开始逐渐显现。</w:t>
      </w:r>
    </w:p>
    <w:p>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一、市场情况反映</w:t>
      </w:r>
    </w:p>
    <w:p>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（一）新房市场成交量有所上升</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深圳市住建局房地产信息平台公示的商品房成交（完成产权过户）数据显示，8月我市一手住宅成交4076套，环比上涨17.1%。究其原因，一方面，由于该数据统计节点是按照商品房实际交易流程，从买卖双方录入网签合同，到双方当事人持网签合同办理过户登记之间统计的，存在一定时间差；另一方面，在进入下半年后，我市新房供应明显加快，在一定程度上，缓解了此前新房市场供需矛盾突出的问题。</w:t>
      </w: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drawing>
          <wp:anchor distT="0" distB="0" distL="114300" distR="114300" simplePos="0" relativeHeight="251685888" behindDoc="1" locked="0" layoutInCell="1" allowOverlap="1">
            <wp:simplePos x="0" y="0"/>
            <wp:positionH relativeFrom="column">
              <wp:posOffset>735965</wp:posOffset>
            </wp:positionH>
            <wp:positionV relativeFrom="paragraph">
              <wp:posOffset>139700</wp:posOffset>
            </wp:positionV>
            <wp:extent cx="4133850" cy="2035175"/>
            <wp:effectExtent l="0" t="0" r="0" b="41275"/>
            <wp:wrapTight wrapText="bothSides">
              <wp:wrapPolygon>
                <wp:start x="0" y="0"/>
                <wp:lineTo x="0" y="21432"/>
                <wp:lineTo x="21500" y="21432"/>
                <wp:lineTo x="21500" y="0"/>
                <wp:lineTo x="0" y="0"/>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（数据来源：深圳市住建局）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（二）二手房市场低位平稳运行，但结构发生重大变化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1.网签量低位平稳运行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根据深房中协统计到的二手房网签数据分析，8月份我市二手房网签量（含自助网签）共计7178套，环比7月网签量（含自助网签）大幅下滑66.3%，同比去年8月份下滑12.6%。</w:t>
      </w:r>
      <w:r>
        <w:rPr>
          <w:rFonts w:hint="eastAsia" w:ascii="仿宋" w:hAnsi="仿宋" w:eastAsia="仿宋" w:cs="仿宋"/>
          <w:b/>
          <w:bCs/>
          <w:sz w:val="32"/>
          <w:szCs w:val="32"/>
          <w:em w:val="dot"/>
          <w:lang w:val="en-US" w:eastAsia="zh-CN"/>
        </w:rPr>
        <w:t>由于网签数据是依据深圳市房地产信息系统在线签订《深圳市二手房买卖合同》示范文本合同份数统计</w:t>
      </w:r>
      <w:r>
        <w:rPr>
          <w:rFonts w:hint="eastAsia" w:ascii="仿宋" w:hAnsi="仿宋" w:eastAsia="仿宋" w:cs="仿宋"/>
          <w:sz w:val="32"/>
          <w:szCs w:val="32"/>
          <w:lang w:val="en-US" w:eastAsia="zh-CN"/>
        </w:rPr>
        <w:t>，相比最终完成成交过户的数据更能体现市场运行态势，因此，可以直观地看到，市场受到7</w:t>
      </w:r>
      <w:r>
        <w:rPr>
          <w:rFonts w:hint="eastAsia" w:ascii="宋体" w:hAnsi="宋体" w:eastAsia="宋体" w:cs="宋体"/>
          <w:sz w:val="32"/>
          <w:szCs w:val="32"/>
          <w:lang w:val="en-US" w:eastAsia="zh-CN"/>
        </w:rPr>
        <w:t>•</w:t>
      </w:r>
      <w:r>
        <w:rPr>
          <w:rFonts w:hint="eastAsia" w:ascii="仿宋" w:hAnsi="仿宋" w:eastAsia="仿宋" w:cs="仿宋"/>
          <w:sz w:val="32"/>
          <w:szCs w:val="32"/>
          <w:lang w:val="en-US" w:eastAsia="zh-CN"/>
        </w:rPr>
        <w:t>15新政的影响非常显著！</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仿宋" w:hAnsi="仿宋" w:eastAsia="仿宋" w:cs="仿宋"/>
          <w:sz w:val="32"/>
          <w:szCs w:val="32"/>
          <w:lang w:val="en-US" w:eastAsia="zh-CN"/>
        </w:rPr>
      </w:pPr>
      <w:r>
        <w:rPr>
          <w:rFonts w:ascii="宋体" w:hAnsi="宋体" w:eastAsia="宋体" w:cs="宋体"/>
          <w:sz w:val="24"/>
          <w:szCs w:val="24"/>
        </w:rPr>
        <w:drawing>
          <wp:anchor distT="0" distB="0" distL="114300" distR="114300" simplePos="0" relativeHeight="251686912" behindDoc="1" locked="0" layoutInCell="1" allowOverlap="1">
            <wp:simplePos x="0" y="0"/>
            <wp:positionH relativeFrom="column">
              <wp:posOffset>874395</wp:posOffset>
            </wp:positionH>
            <wp:positionV relativeFrom="paragraph">
              <wp:posOffset>45720</wp:posOffset>
            </wp:positionV>
            <wp:extent cx="3871595" cy="2346960"/>
            <wp:effectExtent l="0" t="0" r="14605" b="15240"/>
            <wp:wrapNone/>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3871595" cy="2346960"/>
                    </a:xfrm>
                    <a:prstGeom prst="rect">
                      <a:avLst/>
                    </a:prstGeom>
                    <a:noFill/>
                    <a:ln w="9525">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640" w:firstLineChars="200"/>
        <w:jc w:val="both"/>
        <w:textAlignment w:val="auto"/>
        <w:rPr>
          <w:rFonts w:hint="eastAsia" w:ascii="仿宋" w:hAnsi="仿宋" w:eastAsia="仿宋" w:cs="仿宋"/>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beforeAutospacing="0" w:afterAutospacing="0" w:line="300" w:lineRule="exact"/>
        <w:ind w:left="598" w:leftChars="285" w:firstLine="0" w:firstLineChars="0"/>
        <w:jc w:val="left"/>
        <w:textAlignment w:val="top"/>
        <w:rPr>
          <w:rFonts w:hint="eastAsia" w:ascii="微软雅黑" w:eastAsia="微软雅黑" w:hAnsiTheme="minorBidi"/>
          <w:b/>
          <w:color w:val="C00000"/>
          <w:kern w:val="24"/>
          <w:sz w:val="20"/>
          <w:szCs w:val="20"/>
          <w:lang w:eastAsia="zh-CN"/>
        </w:rPr>
      </w:pPr>
      <w:r>
        <w:rPr>
          <w:rFonts w:hint="eastAsia" w:ascii="微软雅黑" w:eastAsia="微软雅黑" w:hAnsiTheme="minorBidi"/>
          <w:b/>
          <w:color w:val="C00000"/>
          <w:kern w:val="24"/>
          <w:sz w:val="20"/>
          <w:szCs w:val="20"/>
          <w:lang w:eastAsia="zh-CN"/>
        </w:rPr>
        <w:t>（注：</w:t>
      </w:r>
      <w:r>
        <w:rPr>
          <w:rFonts w:ascii="微软雅黑" w:eastAsia="微软雅黑" w:hAnsiTheme="minorBidi"/>
          <w:b/>
          <w:color w:val="C00000"/>
          <w:kern w:val="24"/>
          <w:sz w:val="20"/>
          <w:szCs w:val="20"/>
        </w:rPr>
        <w:t>本图所示</w:t>
      </w:r>
      <w:r>
        <w:rPr>
          <w:rFonts w:hint="eastAsia" w:ascii="微软雅黑" w:eastAsia="微软雅黑" w:hAnsiTheme="minorBidi"/>
          <w:b/>
          <w:color w:val="C00000"/>
          <w:kern w:val="24"/>
          <w:sz w:val="20"/>
          <w:szCs w:val="20"/>
          <w:lang w:eastAsia="zh-CN"/>
        </w:rPr>
        <w:t>网签量</w:t>
      </w:r>
      <w:r>
        <w:rPr>
          <w:rFonts w:ascii="微软雅黑" w:eastAsia="微软雅黑" w:hAnsiTheme="minorBidi"/>
          <w:b/>
          <w:color w:val="C00000"/>
          <w:kern w:val="24"/>
          <w:sz w:val="20"/>
          <w:szCs w:val="20"/>
        </w:rPr>
        <w:t>，系指在深圳市房地产信息系统在线签订《深圳市二手房买卖合同》示范文本合同份数， 并非最终成交过户套数。</w:t>
      </w:r>
      <w:r>
        <w:rPr>
          <w:rFonts w:hint="eastAsia" w:ascii="微软雅黑" w:eastAsia="微软雅黑" w:hAnsiTheme="minorBidi"/>
          <w:b/>
          <w:color w:val="C00000"/>
          <w:kern w:val="24"/>
          <w:sz w:val="20"/>
          <w:szCs w:val="20"/>
          <w:lang w:eastAsia="zh-CN"/>
        </w:rPr>
        <w:t>）</w:t>
      </w:r>
    </w:p>
    <w:p>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top"/>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（数据来源：深房中协中介标准指数）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从8月份的每周二手房网签量走势分析，本月走势已告别新政后两周大幅腰斩下滑的行情，周二手房网签量走势总体平稳，维持在1700套上下（详见下图）。</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jc w:val="both"/>
        <w:textAlignment w:val="auto"/>
        <w:rPr>
          <w:rFonts w:hint="eastAsia" w:ascii="仿宋" w:hAnsi="仿宋" w:eastAsia="仿宋" w:cs="仿宋"/>
          <w:sz w:val="32"/>
          <w:szCs w:val="32"/>
          <w:lang w:val="en-US" w:eastAsia="zh-CN"/>
        </w:rPr>
      </w:pPr>
      <w:r>
        <w:drawing>
          <wp:anchor distT="0" distB="0" distL="114300" distR="114300" simplePos="0" relativeHeight="251686912" behindDoc="1" locked="0" layoutInCell="1" allowOverlap="1">
            <wp:simplePos x="0" y="0"/>
            <wp:positionH relativeFrom="column">
              <wp:posOffset>1070610</wp:posOffset>
            </wp:positionH>
            <wp:positionV relativeFrom="paragraph">
              <wp:posOffset>3175</wp:posOffset>
            </wp:positionV>
            <wp:extent cx="3227070" cy="1767205"/>
            <wp:effectExtent l="0" t="0" r="11430" b="4445"/>
            <wp:wrapTight wrapText="bothSides">
              <wp:wrapPolygon>
                <wp:start x="0" y="0"/>
                <wp:lineTo x="0" y="21421"/>
                <wp:lineTo x="21421" y="21421"/>
                <wp:lineTo x="2142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3227070" cy="176720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 w:hAnsi="仿宋" w:eastAsia="仿宋" w:cs="仿宋"/>
          <w:sz w:val="32"/>
          <w:szCs w:val="32"/>
          <w:lang w:val="en-US" w:eastAsia="zh-CN"/>
        </w:rPr>
      </w:pPr>
      <w:bookmarkStart w:id="9" w:name="_GoBack"/>
    </w:p>
    <w:bookmarkEnd w:id="9"/>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 w:hAnsi="仿宋" w:eastAsia="仿宋" w:cs="仿宋"/>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top"/>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（数据来源：深房中协中介标准指数）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2.西部片区降温明显</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根据各区二手房网签数据显示，8月份龙岗、罗湖网签量占比不断上升，分别达到29%与17%，占全市二手房网签量近“半壁江山”，与此形成鲜明对比的则是南山、宝安为代表的西部片区网签量占比下滑明显，分别占14%与16%。</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720" w:firstLineChars="300"/>
        <w:jc w:val="both"/>
        <w:textAlignment w:val="auto"/>
        <w:rPr>
          <w:rFonts w:hint="eastAsia" w:ascii="仿宋" w:hAnsi="仿宋" w:eastAsia="仿宋" w:cs="仿宋"/>
          <w:b/>
          <w:bCs/>
          <w:sz w:val="32"/>
          <w:szCs w:val="32"/>
          <w:lang w:val="en-US" w:eastAsia="zh-CN"/>
        </w:rPr>
      </w:pPr>
      <w:r>
        <w:rPr>
          <w:rFonts w:ascii="宋体" w:hAnsi="宋体" w:eastAsia="宋体" w:cs="宋体"/>
          <w:sz w:val="24"/>
          <w:szCs w:val="24"/>
        </w:rPr>
        <w:drawing>
          <wp:anchor distT="0" distB="0" distL="114300" distR="114300" simplePos="0" relativeHeight="251687936" behindDoc="1" locked="0" layoutInCell="1" allowOverlap="1">
            <wp:simplePos x="0" y="0"/>
            <wp:positionH relativeFrom="column">
              <wp:posOffset>1211580</wp:posOffset>
            </wp:positionH>
            <wp:positionV relativeFrom="paragraph">
              <wp:posOffset>34925</wp:posOffset>
            </wp:positionV>
            <wp:extent cx="2645410" cy="1370965"/>
            <wp:effectExtent l="0" t="0" r="59690" b="38735"/>
            <wp:wrapTight wrapText="bothSides">
              <wp:wrapPolygon>
                <wp:start x="0" y="0"/>
                <wp:lineTo x="0" y="21310"/>
                <wp:lineTo x="21465" y="21310"/>
                <wp:lineTo x="21465" y="0"/>
                <wp:lineTo x="0" y="0"/>
              </wp:wrapPolygon>
            </wp:wrapTight>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7"/>
                    <a:stretch>
                      <a:fillRect/>
                    </a:stretch>
                  </pic:blipFill>
                  <pic:spPr>
                    <a:xfrm>
                      <a:off x="0" y="0"/>
                      <a:ext cx="2645410" cy="1370965"/>
                    </a:xfrm>
                    <a:prstGeom prst="rect">
                      <a:avLst/>
                    </a:prstGeom>
                    <a:noFill/>
                    <a:ln w="9525">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964" w:firstLineChars="300"/>
        <w:jc w:val="both"/>
        <w:textAlignment w:val="auto"/>
        <w:rPr>
          <w:rFonts w:hint="eastAsia" w:ascii="仿宋" w:hAnsi="仿宋" w:eastAsia="仿宋" w:cs="仿宋"/>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964" w:firstLineChars="300"/>
        <w:jc w:val="both"/>
        <w:textAlignment w:val="auto"/>
        <w:rPr>
          <w:rFonts w:hint="eastAsia" w:ascii="仿宋" w:hAnsi="仿宋" w:eastAsia="仿宋" w:cs="仿宋"/>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964" w:firstLineChars="300"/>
        <w:jc w:val="both"/>
        <w:textAlignment w:val="auto"/>
        <w:rPr>
          <w:rFonts w:hint="eastAsia" w:ascii="仿宋" w:hAnsi="仿宋" w:eastAsia="仿宋" w:cs="仿宋"/>
          <w:b/>
          <w:bCs/>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top"/>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（数据来源：深房中协中介标准指数）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3.二手房住宅项目网签占比减少明显</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月份我市二手房网签量中，住宅占比为85.5%，环比7月91.1%的占比下滑明显。同时，放到今年的网签数据轴上分析，也是年内的新低。而与此对应的则是我市商业、办公类项目网签占比的提高。以8月末第34周二手房网签数据为例，商务公寓与商铺类项目的网签占比相比6月份上升明显，住宅项目的占比相比6月份则下滑明显。</w:t>
      </w:r>
    </w:p>
    <w:tbl>
      <w:tblPr>
        <w:tblStyle w:val="6"/>
        <w:tblpPr w:leftFromText="180" w:rightFromText="180" w:vertAnchor="text" w:horzAnchor="page" w:tblpX="3464" w:tblpY="35"/>
        <w:tblOverlap w:val="never"/>
        <w:tblW w:w="4959" w:type="dxa"/>
        <w:tblInd w:w="0" w:type="dxa"/>
        <w:shd w:val="clear" w:color="auto" w:fill="auto"/>
        <w:tblLayout w:type="fixed"/>
        <w:tblCellMar>
          <w:top w:w="0" w:type="dxa"/>
          <w:left w:w="0" w:type="dxa"/>
          <w:bottom w:w="0" w:type="dxa"/>
          <w:right w:w="0" w:type="dxa"/>
        </w:tblCellMar>
      </w:tblPr>
      <w:tblGrid>
        <w:gridCol w:w="989"/>
        <w:gridCol w:w="1455"/>
        <w:gridCol w:w="667"/>
        <w:gridCol w:w="1848"/>
      </w:tblGrid>
      <w:tr>
        <w:tblPrEx>
          <w:shd w:val="clear" w:color="auto" w:fill="auto"/>
          <w:tblCellMar>
            <w:top w:w="0" w:type="dxa"/>
            <w:left w:w="0" w:type="dxa"/>
            <w:bottom w:w="0" w:type="dxa"/>
            <w:right w:w="0" w:type="dxa"/>
          </w:tblCellMar>
        </w:tblPrEx>
        <w:trPr>
          <w:trHeight w:val="136" w:hRule="atLeast"/>
        </w:trPr>
        <w:tc>
          <w:tcPr>
            <w:tcW w:w="989" w:type="dxa"/>
            <w:vMerge w:val="restart"/>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8"/>
                <w:szCs w:val="18"/>
                <w:u w:val="none"/>
              </w:rPr>
            </w:pPr>
            <w:r>
              <w:rPr>
                <w:rFonts w:hint="eastAsia" w:ascii="宋体" w:hAnsi="宋体" w:eastAsia="宋体" w:cs="宋体"/>
                <w:b/>
                <w:bCs/>
                <w:i w:val="0"/>
                <w:color w:val="000000"/>
                <w:kern w:val="0"/>
                <w:sz w:val="18"/>
                <w:szCs w:val="18"/>
                <w:u w:val="none"/>
                <w:lang w:val="en-US" w:eastAsia="zh-CN" w:bidi="ar"/>
              </w:rPr>
              <w:t>类型</w:t>
            </w:r>
          </w:p>
        </w:tc>
        <w:tc>
          <w:tcPr>
            <w:tcW w:w="3970" w:type="dxa"/>
            <w:gridSpan w:val="3"/>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b/>
                <w:bCs/>
                <w:i w:val="0"/>
                <w:color w:val="000000"/>
                <w:kern w:val="0"/>
                <w:sz w:val="18"/>
                <w:szCs w:val="18"/>
                <w:u w:val="none"/>
                <w:lang w:val="en-US" w:eastAsia="zh-CN" w:bidi="ar"/>
              </w:rPr>
              <w:t>时 间</w:t>
            </w:r>
          </w:p>
        </w:tc>
      </w:tr>
      <w:tr>
        <w:tblPrEx>
          <w:tblCellMar>
            <w:top w:w="0" w:type="dxa"/>
            <w:left w:w="0" w:type="dxa"/>
            <w:bottom w:w="0" w:type="dxa"/>
            <w:right w:w="0" w:type="dxa"/>
          </w:tblCellMar>
        </w:tblPrEx>
        <w:trPr>
          <w:trHeight w:val="90" w:hRule="atLeast"/>
        </w:trPr>
        <w:tc>
          <w:tcPr>
            <w:tcW w:w="989" w:type="dxa"/>
            <w:vMerge w:val="continue"/>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jc w:val="center"/>
              <w:rPr>
                <w:rFonts w:hint="eastAsia" w:ascii="宋体" w:hAnsi="宋体" w:eastAsia="宋体" w:cs="宋体"/>
                <w:b/>
                <w:bCs/>
                <w:i w:val="0"/>
                <w:color w:val="000000"/>
                <w:sz w:val="16"/>
                <w:szCs w:val="16"/>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E2EFD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8.17-8.23</w:t>
            </w:r>
          </w:p>
        </w:tc>
        <w:tc>
          <w:tcPr>
            <w:tcW w:w="667" w:type="dxa"/>
            <w:vMerge w:val="restart"/>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21"/>
                <w:szCs w:val="21"/>
                <w:u w:val="none"/>
                <w:lang w:val="en-US" w:eastAsia="zh-CN" w:bidi="ar"/>
              </w:rPr>
              <w:t>VS</w:t>
            </w:r>
          </w:p>
        </w:tc>
        <w:tc>
          <w:tcPr>
            <w:tcW w:w="1848" w:type="dxa"/>
            <w:tcBorders>
              <w:top w:val="single" w:color="000000" w:sz="4" w:space="0"/>
              <w:left w:val="single" w:color="000000" w:sz="4" w:space="0"/>
              <w:bottom w:val="single" w:color="000000" w:sz="4" w:space="0"/>
              <w:right w:val="single" w:color="000000" w:sz="4" w:space="0"/>
            </w:tcBorders>
            <w:shd w:val="clear" w:color="auto" w:fill="D9E1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6月份</w:t>
            </w:r>
          </w:p>
        </w:tc>
      </w:tr>
      <w:tr>
        <w:tblPrEx>
          <w:tblCellMar>
            <w:top w:w="0" w:type="dxa"/>
            <w:left w:w="0" w:type="dxa"/>
            <w:bottom w:w="0" w:type="dxa"/>
            <w:right w:w="0" w:type="dxa"/>
          </w:tblCellMar>
        </w:tblPrEx>
        <w:trPr>
          <w:trHeight w:val="90" w:hRule="atLeast"/>
        </w:trPr>
        <w:tc>
          <w:tcPr>
            <w:tcW w:w="989" w:type="dxa"/>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住宅</w:t>
            </w:r>
          </w:p>
        </w:tc>
        <w:tc>
          <w:tcPr>
            <w:tcW w:w="1455" w:type="dxa"/>
            <w:tcBorders>
              <w:top w:val="single" w:color="000000" w:sz="4" w:space="0"/>
              <w:left w:val="single" w:color="000000" w:sz="4" w:space="0"/>
              <w:bottom w:val="single" w:color="000000" w:sz="4" w:space="0"/>
              <w:right w:val="single" w:color="000000" w:sz="4" w:space="0"/>
            </w:tcBorders>
            <w:shd w:val="clear" w:color="auto" w:fill="E2EFD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82.27%</w:t>
            </w: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D9E1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92.14%</w:t>
            </w:r>
          </w:p>
        </w:tc>
      </w:tr>
      <w:tr>
        <w:tblPrEx>
          <w:tblCellMar>
            <w:top w:w="0" w:type="dxa"/>
            <w:left w:w="0" w:type="dxa"/>
            <w:bottom w:w="0" w:type="dxa"/>
            <w:right w:w="0" w:type="dxa"/>
          </w:tblCellMar>
        </w:tblPrEx>
        <w:trPr>
          <w:trHeight w:val="319" w:hRule="atLeast"/>
        </w:trPr>
        <w:tc>
          <w:tcPr>
            <w:tcW w:w="989" w:type="dxa"/>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商务公寓</w:t>
            </w:r>
          </w:p>
        </w:tc>
        <w:tc>
          <w:tcPr>
            <w:tcW w:w="1455" w:type="dxa"/>
            <w:tcBorders>
              <w:top w:val="single" w:color="000000" w:sz="4" w:space="0"/>
              <w:left w:val="single" w:color="000000" w:sz="4" w:space="0"/>
              <w:bottom w:val="single" w:color="000000" w:sz="4" w:space="0"/>
              <w:right w:val="single" w:color="000000" w:sz="4" w:space="0"/>
            </w:tcBorders>
            <w:shd w:val="clear" w:color="auto" w:fill="E2EFD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8.08%</w:t>
            </w: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D9E1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4.48%</w:t>
            </w:r>
          </w:p>
        </w:tc>
      </w:tr>
      <w:tr>
        <w:tblPrEx>
          <w:tblCellMar>
            <w:top w:w="0" w:type="dxa"/>
            <w:left w:w="0" w:type="dxa"/>
            <w:bottom w:w="0" w:type="dxa"/>
            <w:right w:w="0" w:type="dxa"/>
          </w:tblCellMar>
        </w:tblPrEx>
        <w:trPr>
          <w:trHeight w:val="319" w:hRule="atLeast"/>
        </w:trPr>
        <w:tc>
          <w:tcPr>
            <w:tcW w:w="989" w:type="dxa"/>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商铺</w:t>
            </w:r>
          </w:p>
        </w:tc>
        <w:tc>
          <w:tcPr>
            <w:tcW w:w="1455" w:type="dxa"/>
            <w:tcBorders>
              <w:top w:val="single" w:color="000000" w:sz="4" w:space="0"/>
              <w:left w:val="single" w:color="000000" w:sz="4" w:space="0"/>
              <w:bottom w:val="single" w:color="000000" w:sz="4" w:space="0"/>
              <w:right w:val="single" w:color="000000" w:sz="4" w:space="0"/>
            </w:tcBorders>
            <w:shd w:val="clear" w:color="auto" w:fill="E2EFD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6.70%</w:t>
            </w: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D9E1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1.43%</w:t>
            </w:r>
          </w:p>
        </w:tc>
      </w:tr>
      <w:tr>
        <w:tblPrEx>
          <w:tblCellMar>
            <w:top w:w="0" w:type="dxa"/>
            <w:left w:w="0" w:type="dxa"/>
            <w:bottom w:w="0" w:type="dxa"/>
            <w:right w:w="0" w:type="dxa"/>
          </w:tblCellMar>
        </w:tblPrEx>
        <w:trPr>
          <w:trHeight w:val="90" w:hRule="atLeast"/>
        </w:trPr>
        <w:tc>
          <w:tcPr>
            <w:tcW w:w="989" w:type="dxa"/>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办公类</w:t>
            </w:r>
          </w:p>
        </w:tc>
        <w:tc>
          <w:tcPr>
            <w:tcW w:w="1455" w:type="dxa"/>
            <w:tcBorders>
              <w:top w:val="single" w:color="000000" w:sz="4" w:space="0"/>
              <w:left w:val="single" w:color="000000" w:sz="4" w:space="0"/>
              <w:bottom w:val="single" w:color="000000" w:sz="4" w:space="0"/>
              <w:right w:val="single" w:color="000000" w:sz="4" w:space="0"/>
            </w:tcBorders>
            <w:shd w:val="clear" w:color="auto" w:fill="E2EFD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2.69%</w:t>
            </w: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D9E1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1.55%</w:t>
            </w:r>
          </w:p>
        </w:tc>
      </w:tr>
      <w:tr>
        <w:tblPrEx>
          <w:tblCellMar>
            <w:top w:w="0" w:type="dxa"/>
            <w:left w:w="0" w:type="dxa"/>
            <w:bottom w:w="0" w:type="dxa"/>
            <w:right w:w="0" w:type="dxa"/>
          </w:tblCellMar>
        </w:tblPrEx>
        <w:trPr>
          <w:trHeight w:val="220" w:hRule="atLeast"/>
        </w:trPr>
        <w:tc>
          <w:tcPr>
            <w:tcW w:w="989" w:type="dxa"/>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工业</w:t>
            </w:r>
          </w:p>
        </w:tc>
        <w:tc>
          <w:tcPr>
            <w:tcW w:w="1455" w:type="dxa"/>
            <w:tcBorders>
              <w:top w:val="single" w:color="000000" w:sz="4" w:space="0"/>
              <w:left w:val="single" w:color="000000" w:sz="4" w:space="0"/>
              <w:bottom w:val="single" w:color="000000" w:sz="4" w:space="0"/>
              <w:right w:val="single" w:color="000000" w:sz="4" w:space="0"/>
            </w:tcBorders>
            <w:shd w:val="clear" w:color="auto" w:fill="E2EFD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0.06%</w:t>
            </w: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D9E1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0.19%</w:t>
            </w:r>
          </w:p>
        </w:tc>
      </w:tr>
      <w:tr>
        <w:tblPrEx>
          <w:tblCellMar>
            <w:top w:w="0" w:type="dxa"/>
            <w:left w:w="0" w:type="dxa"/>
            <w:bottom w:w="0" w:type="dxa"/>
            <w:right w:w="0" w:type="dxa"/>
          </w:tblCellMar>
        </w:tblPrEx>
        <w:trPr>
          <w:trHeight w:val="155" w:hRule="atLeast"/>
        </w:trPr>
        <w:tc>
          <w:tcPr>
            <w:tcW w:w="989" w:type="dxa"/>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其他</w:t>
            </w:r>
          </w:p>
        </w:tc>
        <w:tc>
          <w:tcPr>
            <w:tcW w:w="1455" w:type="dxa"/>
            <w:tcBorders>
              <w:top w:val="single" w:color="000000" w:sz="4" w:space="0"/>
              <w:left w:val="single" w:color="000000" w:sz="4" w:space="0"/>
              <w:bottom w:val="single" w:color="000000" w:sz="4" w:space="0"/>
              <w:right w:val="single" w:color="000000" w:sz="4" w:space="0"/>
            </w:tcBorders>
            <w:shd w:val="clear" w:color="auto" w:fill="E2EFDA"/>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0.19%</w:t>
            </w: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2F2F2"/>
            <w:noWrap/>
            <w:tcMar>
              <w:top w:w="15" w:type="dxa"/>
              <w:left w:w="15" w:type="dxa"/>
              <w:right w:w="15" w:type="dxa"/>
            </w:tcMar>
            <w:vAlign w:val="center"/>
          </w:tcPr>
          <w:p>
            <w:pPr>
              <w:jc w:val="center"/>
              <w:rPr>
                <w:rFonts w:hint="eastAsia" w:ascii="宋体" w:hAnsi="宋体" w:eastAsia="宋体" w:cs="宋体"/>
                <w:i w:val="0"/>
                <w:color w:val="000000"/>
                <w:sz w:val="16"/>
                <w:szCs w:val="16"/>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D9E1F2"/>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000000"/>
                <w:sz w:val="16"/>
                <w:szCs w:val="16"/>
                <w:u w:val="none"/>
              </w:rPr>
            </w:pPr>
            <w:r>
              <w:rPr>
                <w:rFonts w:hint="eastAsia" w:ascii="宋体" w:hAnsi="宋体" w:eastAsia="宋体" w:cs="宋体"/>
                <w:b/>
                <w:bCs/>
                <w:i w:val="0"/>
                <w:color w:val="000000"/>
                <w:kern w:val="0"/>
                <w:sz w:val="16"/>
                <w:szCs w:val="16"/>
                <w:u w:val="none"/>
                <w:lang w:val="en-US" w:eastAsia="zh-CN" w:bidi="ar"/>
              </w:rPr>
              <w:t>0.20%</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960" w:firstLineChars="3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960" w:firstLineChars="3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960" w:firstLineChars="3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960" w:firstLineChars="3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960" w:firstLineChars="300"/>
        <w:jc w:val="both"/>
        <w:textAlignment w:val="auto"/>
        <w:rPr>
          <w:rFonts w:hint="eastAsia" w:ascii="仿宋" w:hAnsi="仿宋" w:eastAsia="仿宋" w:cs="仿宋"/>
          <w:sz w:val="32"/>
          <w:szCs w:val="32"/>
          <w:lang w:val="en-US" w:eastAsia="zh-CN"/>
        </w:rPr>
      </w:pPr>
    </w:p>
    <w:p>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top"/>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（数据来源：深房中协中介标准指数）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充分说明了新政对于住宅项目限购范围扩大的影响显著。无房票人士只能将购房需求转移到不限购不限贷的商业，或办公项目上，而这一趋势，仍将会在随后时间里延续。</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（三）新政前的报价“普涨”行为明显得到遏制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根据深房中协对我市部分热点楼盘放盘报价情况的追踪，发现这些热点楼盘的成交量，相比新政前呈现出“速冻”状态。同时，</w:t>
      </w:r>
      <w:r>
        <w:rPr>
          <w:rFonts w:hint="eastAsia" w:ascii="仿宋" w:hAnsi="仿宋" w:eastAsia="仿宋" w:cs="仿宋"/>
          <w:b/>
          <w:bCs/>
          <w:sz w:val="32"/>
          <w:szCs w:val="32"/>
          <w:em w:val="dot"/>
          <w:lang w:val="en-US" w:eastAsia="zh-CN"/>
        </w:rPr>
        <w:t>新政前这些热点楼盘业主大面积调涨的行为也明显得到了遏制</w:t>
      </w:r>
      <w:r>
        <w:rPr>
          <w:rFonts w:hint="eastAsia" w:ascii="仿宋" w:hAnsi="仿宋" w:eastAsia="仿宋" w:cs="仿宋"/>
          <w:sz w:val="32"/>
          <w:szCs w:val="32"/>
          <w:lang w:val="en-US" w:eastAsia="zh-CN"/>
        </w:rPr>
        <w:t>，甚至样本数据中近一半的房源报价还出现了不同程度的下调，虽然这些报价下调的幅度不大，但可以明显看出业主心态的松动。</w:t>
      </w:r>
      <w:r>
        <w:rPr>
          <w:rFonts w:hint="eastAsia" w:ascii="仿宋" w:hAnsi="仿宋" w:eastAsia="仿宋" w:cs="仿宋"/>
          <w:b/>
          <w:bCs/>
          <w:sz w:val="32"/>
          <w:szCs w:val="32"/>
          <w:em w:val="dot"/>
          <w:lang w:val="en-US" w:eastAsia="zh-CN"/>
        </w:rPr>
        <w:t>说明新政在“合理市场预期，打击投机炒作”方面已发挥既定作用。</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二、行业情况反映</w:t>
      </w:r>
    </w:p>
    <w:p>
      <w:pPr>
        <w:bidi w:val="0"/>
        <w:ind w:firstLine="643" w:firstLineChars="200"/>
        <w:outlineLvl w:val="1"/>
        <w:rPr>
          <w:rFonts w:hint="default" w:ascii="仿宋" w:hAnsi="仿宋" w:eastAsia="仿宋"/>
          <w:b/>
          <w:sz w:val="32"/>
          <w:szCs w:val="32"/>
          <w:lang w:val="en-US" w:eastAsia="zh-CN"/>
        </w:rPr>
      </w:pPr>
      <w:bookmarkStart w:id="0" w:name="_Toc4571112"/>
      <w:bookmarkStart w:id="1" w:name="_Toc3684"/>
      <w:bookmarkStart w:id="2" w:name="_Toc31060"/>
      <w:bookmarkStart w:id="3" w:name="_Toc11568"/>
      <w:bookmarkStart w:id="4" w:name="_Toc5830"/>
      <w:r>
        <w:rPr>
          <w:rFonts w:hint="eastAsia" w:ascii="仿宋" w:hAnsi="仿宋" w:eastAsia="仿宋"/>
          <w:b/>
          <w:sz w:val="32"/>
          <w:szCs w:val="32"/>
        </w:rPr>
        <w:t>（</w:t>
      </w:r>
      <w:r>
        <w:rPr>
          <w:rFonts w:hint="eastAsia" w:ascii="仿宋" w:hAnsi="仿宋" w:eastAsia="仿宋"/>
          <w:b/>
          <w:sz w:val="32"/>
          <w:szCs w:val="32"/>
          <w:lang w:eastAsia="zh-CN"/>
        </w:rPr>
        <w:t>一</w:t>
      </w:r>
      <w:r>
        <w:rPr>
          <w:rFonts w:hint="eastAsia" w:ascii="仿宋" w:hAnsi="仿宋" w:eastAsia="仿宋"/>
          <w:b/>
          <w:sz w:val="32"/>
          <w:szCs w:val="32"/>
        </w:rPr>
        <w:t>）</w:t>
      </w:r>
      <w:bookmarkEnd w:id="0"/>
      <w:bookmarkEnd w:id="1"/>
      <w:bookmarkEnd w:id="2"/>
      <w:bookmarkEnd w:id="3"/>
      <w:r>
        <w:rPr>
          <w:rFonts w:hint="eastAsia" w:ascii="仿宋" w:hAnsi="仿宋" w:eastAsia="仿宋"/>
          <w:b/>
          <w:sz w:val="32"/>
          <w:szCs w:val="32"/>
          <w:lang w:val="en-US" w:eastAsia="zh-CN"/>
        </w:rPr>
        <w:t>新增备案机构总量下降，多为“在途”备案</w:t>
      </w:r>
      <w:bookmarkEnd w:id="4"/>
    </w:p>
    <w:p>
      <w:pPr>
        <w:jc w:val="center"/>
      </w:pPr>
      <w:r>
        <w:drawing>
          <wp:inline distT="0" distB="0" distL="114300" distR="114300">
            <wp:extent cx="3834130" cy="2343150"/>
            <wp:effectExtent l="5080" t="4445" r="8890" b="14605"/>
            <wp:docPr id="11"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top"/>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（数据来源：深房中协中介标准指数）</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sz w:val="32"/>
          <w:szCs w:val="32"/>
        </w:rPr>
        <w:t>截至20</w:t>
      </w:r>
      <w:r>
        <w:rPr>
          <w:rFonts w:hint="eastAsia" w:ascii="仿宋" w:hAnsi="仿宋" w:eastAsia="仿宋"/>
          <w:sz w:val="32"/>
          <w:szCs w:val="32"/>
          <w:lang w:val="en-US" w:eastAsia="zh-CN"/>
        </w:rPr>
        <w:t>20</w:t>
      </w:r>
      <w:r>
        <w:rPr>
          <w:rFonts w:hint="eastAsia" w:ascii="仿宋" w:hAnsi="仿宋" w:eastAsia="仿宋"/>
          <w:sz w:val="32"/>
          <w:szCs w:val="32"/>
        </w:rPr>
        <w:t>年</w:t>
      </w:r>
      <w:r>
        <w:rPr>
          <w:rFonts w:hint="eastAsia" w:ascii="仿宋" w:hAnsi="仿宋" w:eastAsia="仿宋"/>
          <w:sz w:val="32"/>
          <w:szCs w:val="32"/>
          <w:lang w:val="en-US" w:eastAsia="zh-CN"/>
        </w:rPr>
        <w:t>8</w:t>
      </w:r>
      <w:r>
        <w:rPr>
          <w:rFonts w:hint="eastAsia" w:ascii="仿宋" w:hAnsi="仿宋" w:eastAsia="仿宋"/>
          <w:sz w:val="32"/>
          <w:szCs w:val="32"/>
        </w:rPr>
        <w:t>月</w:t>
      </w:r>
      <w:r>
        <w:rPr>
          <w:rFonts w:hint="eastAsia" w:ascii="仿宋" w:hAnsi="仿宋" w:eastAsia="仿宋"/>
          <w:sz w:val="32"/>
          <w:szCs w:val="32"/>
          <w:lang w:val="en-US" w:eastAsia="zh-CN"/>
        </w:rPr>
        <w:t>28</w:t>
      </w:r>
      <w:r>
        <w:rPr>
          <w:rFonts w:hint="eastAsia" w:ascii="仿宋" w:hAnsi="仿宋" w:eastAsia="仿宋"/>
          <w:sz w:val="32"/>
          <w:szCs w:val="32"/>
        </w:rPr>
        <w:t>日，</w:t>
      </w:r>
      <w:r>
        <w:rPr>
          <w:rFonts w:hint="eastAsia" w:ascii="仿宋" w:hAnsi="仿宋" w:eastAsia="仿宋"/>
          <w:sz w:val="32"/>
          <w:szCs w:val="32"/>
          <w:lang w:val="en-US" w:eastAsia="zh-CN"/>
        </w:rPr>
        <w:t>8</w:t>
      </w:r>
      <w:r>
        <w:rPr>
          <w:rFonts w:hint="eastAsia" w:ascii="仿宋" w:hAnsi="仿宋" w:eastAsia="仿宋"/>
          <w:sz w:val="32"/>
          <w:szCs w:val="32"/>
        </w:rPr>
        <w:t>月新增备案机构</w:t>
      </w:r>
      <w:r>
        <w:rPr>
          <w:rFonts w:hint="eastAsia" w:ascii="仿宋" w:hAnsi="仿宋" w:eastAsia="仿宋"/>
          <w:sz w:val="32"/>
          <w:szCs w:val="32"/>
          <w:lang w:val="en-US" w:eastAsia="zh-CN"/>
        </w:rPr>
        <w:t>62</w:t>
      </w:r>
      <w:r>
        <w:rPr>
          <w:rFonts w:hint="eastAsia" w:ascii="仿宋" w:hAnsi="仿宋" w:eastAsia="仿宋"/>
          <w:sz w:val="32"/>
          <w:szCs w:val="32"/>
        </w:rPr>
        <w:t>家，</w:t>
      </w:r>
      <w:r>
        <w:rPr>
          <w:rFonts w:hint="eastAsia" w:ascii="仿宋" w:hAnsi="仿宋" w:eastAsia="仿宋"/>
          <w:sz w:val="32"/>
          <w:szCs w:val="32"/>
          <w:lang w:eastAsia="zh-CN"/>
        </w:rPr>
        <w:t>环比</w:t>
      </w:r>
      <w:r>
        <w:rPr>
          <w:rFonts w:hint="eastAsia" w:ascii="仿宋" w:hAnsi="仿宋" w:eastAsia="仿宋"/>
          <w:sz w:val="32"/>
          <w:szCs w:val="32"/>
          <w:lang w:val="en-US" w:eastAsia="zh-CN"/>
        </w:rPr>
        <w:t>下降42%，</w:t>
      </w:r>
      <w:r>
        <w:rPr>
          <w:rFonts w:hint="eastAsia" w:ascii="仿宋" w:hAnsi="仿宋" w:eastAsia="仿宋"/>
          <w:sz w:val="32"/>
          <w:szCs w:val="32"/>
        </w:rPr>
        <w:t>同比</w:t>
      </w:r>
      <w:r>
        <w:rPr>
          <w:rFonts w:hint="eastAsia" w:ascii="仿宋" w:hAnsi="仿宋" w:eastAsia="仿宋"/>
          <w:sz w:val="32"/>
          <w:szCs w:val="32"/>
          <w:lang w:val="en-US" w:eastAsia="zh-CN"/>
        </w:rPr>
        <w:t>增加44</w:t>
      </w:r>
      <w:r>
        <w:rPr>
          <w:rFonts w:hint="eastAsia" w:ascii="仿宋" w:hAnsi="仿宋" w:eastAsia="仿宋"/>
          <w:sz w:val="32"/>
          <w:szCs w:val="32"/>
        </w:rPr>
        <w:t>%。</w:t>
      </w:r>
      <w:r>
        <w:rPr>
          <w:rFonts w:hint="eastAsia" w:ascii="仿宋" w:hAnsi="仿宋" w:eastAsia="仿宋"/>
          <w:sz w:val="32"/>
          <w:szCs w:val="32"/>
          <w:lang w:val="en-US" w:eastAsia="zh-CN"/>
        </w:rPr>
        <w:t>备案量环比虽出现大幅下滑，但从同比增长可以看出绝对值依然较高。7</w:t>
      </w:r>
      <w:r>
        <w:rPr>
          <w:rFonts w:hint="eastAsia" w:ascii="宋体" w:hAnsi="宋体" w:eastAsia="宋体" w:cs="宋体"/>
          <w:sz w:val="32"/>
          <w:szCs w:val="32"/>
          <w:lang w:val="en-US" w:eastAsia="zh-CN"/>
        </w:rPr>
        <w:t>•</w:t>
      </w:r>
      <w:r>
        <w:rPr>
          <w:rFonts w:hint="eastAsia" w:ascii="仿宋" w:hAnsi="仿宋" w:eastAsia="仿宋"/>
          <w:sz w:val="32"/>
          <w:szCs w:val="32"/>
          <w:lang w:val="en-US" w:eastAsia="zh-CN"/>
        </w:rPr>
        <w:t>15新政后，市场之所以还有这么多新增备案量，</w:t>
      </w:r>
      <w:r>
        <w:rPr>
          <w:rFonts w:hint="eastAsia" w:ascii="仿宋" w:hAnsi="仿宋" w:eastAsia="仿宋"/>
          <w:b/>
          <w:bCs/>
          <w:sz w:val="32"/>
          <w:szCs w:val="32"/>
          <w:em w:val="dot"/>
          <w:lang w:val="en-US" w:eastAsia="zh-CN"/>
        </w:rPr>
        <w:t>通过了解，很多都是之前市场行情好的时候已筹备开业，现在才走到备案流程所致</w:t>
      </w:r>
      <w:r>
        <w:rPr>
          <w:rFonts w:hint="eastAsia" w:ascii="仿宋" w:hAnsi="仿宋" w:eastAsia="仿宋"/>
          <w:sz w:val="32"/>
          <w:szCs w:val="32"/>
          <w:lang w:val="en-US" w:eastAsia="zh-CN"/>
        </w:rPr>
        <w:t>。预计随着滞后的存量消耗完，新增备案机构量还会呈现下降趋势。</w:t>
      </w:r>
    </w:p>
    <w:p>
      <w:pPr>
        <w:pStyle w:val="10"/>
        <w:numPr>
          <w:ilvl w:val="0"/>
          <w:numId w:val="0"/>
        </w:numPr>
        <w:spacing w:line="560" w:lineRule="exact"/>
        <w:ind w:firstLine="643" w:firstLineChars="200"/>
        <w:outlineLvl w:val="1"/>
        <w:rPr>
          <w:rFonts w:hint="eastAsia" w:ascii="仿宋" w:hAnsi="仿宋" w:eastAsia="仿宋"/>
          <w:b/>
          <w:sz w:val="32"/>
          <w:szCs w:val="32"/>
        </w:rPr>
      </w:pPr>
      <w:bookmarkStart w:id="5" w:name="_Toc9937"/>
      <w:r>
        <w:rPr>
          <w:rFonts w:hint="eastAsia" w:ascii="仿宋" w:hAnsi="仿宋" w:eastAsia="仿宋"/>
          <w:b/>
          <w:sz w:val="32"/>
          <w:szCs w:val="32"/>
          <w:lang w:val="en-US" w:eastAsia="zh-CN"/>
        </w:rPr>
        <w:t>（二）入行人数出现明显下滑</w:t>
      </w:r>
      <w:bookmarkEnd w:id="5"/>
    </w:p>
    <w:p>
      <w:pPr>
        <w:bidi w:val="0"/>
        <w:jc w:val="center"/>
      </w:pPr>
      <w:r>
        <w:drawing>
          <wp:inline distT="0" distB="0" distL="114300" distR="114300">
            <wp:extent cx="4116705" cy="2223770"/>
            <wp:effectExtent l="4445" t="4445" r="12700" b="1968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top"/>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（数据来源：深房中协中介标准指数）</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sz w:val="32"/>
          <w:szCs w:val="32"/>
        </w:rPr>
        <w:t>截至20</w:t>
      </w:r>
      <w:r>
        <w:rPr>
          <w:rFonts w:hint="eastAsia" w:ascii="仿宋" w:hAnsi="仿宋" w:eastAsia="仿宋"/>
          <w:sz w:val="32"/>
          <w:szCs w:val="32"/>
          <w:lang w:val="en-US" w:eastAsia="zh-CN"/>
        </w:rPr>
        <w:t>20</w:t>
      </w:r>
      <w:r>
        <w:rPr>
          <w:rFonts w:hint="eastAsia" w:ascii="仿宋" w:hAnsi="仿宋" w:eastAsia="仿宋"/>
          <w:sz w:val="32"/>
          <w:szCs w:val="32"/>
        </w:rPr>
        <w:t>年</w:t>
      </w:r>
      <w:r>
        <w:rPr>
          <w:rFonts w:hint="eastAsia" w:ascii="仿宋" w:hAnsi="仿宋" w:eastAsia="仿宋"/>
          <w:sz w:val="32"/>
          <w:szCs w:val="32"/>
          <w:lang w:val="en-US" w:eastAsia="zh-CN"/>
        </w:rPr>
        <w:t>8</w:t>
      </w:r>
      <w:r>
        <w:rPr>
          <w:rFonts w:hint="eastAsia" w:ascii="仿宋" w:hAnsi="仿宋" w:eastAsia="仿宋"/>
          <w:sz w:val="32"/>
          <w:szCs w:val="32"/>
        </w:rPr>
        <w:t>月</w:t>
      </w:r>
      <w:r>
        <w:rPr>
          <w:rFonts w:hint="eastAsia" w:ascii="仿宋" w:hAnsi="仿宋" w:eastAsia="仿宋"/>
          <w:sz w:val="32"/>
          <w:szCs w:val="32"/>
          <w:lang w:val="en-US" w:eastAsia="zh-CN"/>
        </w:rPr>
        <w:t>28</w:t>
      </w:r>
      <w:r>
        <w:rPr>
          <w:rFonts w:hint="eastAsia" w:ascii="仿宋" w:hAnsi="仿宋" w:eastAsia="仿宋"/>
          <w:sz w:val="32"/>
          <w:szCs w:val="32"/>
        </w:rPr>
        <w:t>日，</w:t>
      </w:r>
      <w:r>
        <w:rPr>
          <w:rFonts w:hint="eastAsia" w:ascii="仿宋" w:hAnsi="仿宋" w:eastAsia="仿宋"/>
          <w:sz w:val="32"/>
          <w:szCs w:val="32"/>
          <w:lang w:val="en-US" w:eastAsia="zh-CN"/>
        </w:rPr>
        <w:t>8</w:t>
      </w:r>
      <w:r>
        <w:rPr>
          <w:rFonts w:hint="eastAsia" w:ascii="仿宋" w:hAnsi="仿宋" w:eastAsia="仿宋"/>
          <w:sz w:val="32"/>
          <w:szCs w:val="32"/>
        </w:rPr>
        <w:t>月新增</w:t>
      </w:r>
      <w:r>
        <w:rPr>
          <w:rFonts w:hint="eastAsia" w:ascii="仿宋" w:hAnsi="仿宋" w:eastAsia="仿宋"/>
          <w:sz w:val="32"/>
          <w:szCs w:val="32"/>
          <w:lang w:eastAsia="zh-CN"/>
        </w:rPr>
        <w:t>个人会员</w:t>
      </w:r>
      <w:r>
        <w:rPr>
          <w:rFonts w:hint="eastAsia" w:ascii="仿宋" w:hAnsi="仿宋" w:eastAsia="仿宋"/>
          <w:sz w:val="32"/>
          <w:szCs w:val="32"/>
          <w:lang w:val="en-US" w:eastAsia="zh-CN"/>
        </w:rPr>
        <w:t>4436人，环比下降26%，同比下降10%。7</w:t>
      </w:r>
      <w:r>
        <w:rPr>
          <w:rFonts w:hint="eastAsia" w:ascii="宋体" w:hAnsi="宋体" w:eastAsia="宋体" w:cs="宋体"/>
          <w:sz w:val="32"/>
          <w:szCs w:val="32"/>
          <w:lang w:val="en-US" w:eastAsia="zh-CN"/>
        </w:rPr>
        <w:t>•</w:t>
      </w:r>
      <w:r>
        <w:rPr>
          <w:rFonts w:hint="eastAsia" w:ascii="仿宋" w:hAnsi="仿宋" w:eastAsia="仿宋"/>
          <w:sz w:val="32"/>
          <w:szCs w:val="32"/>
          <w:lang w:val="en-US" w:eastAsia="zh-CN"/>
        </w:rPr>
        <w:t>15新政使得人们对市场预期出现了转折，当前市场买卖双方处在对房价的博弈（不低卖，不高买）阶段，进而导致成交量大幅下滑。趋冷的市场行情使得行业当前较之前赚钱难度大幅上升，进而使得很多从业者对这个行业望而却步。而新申请人员占比的不断下滑也佐证了这个观点。</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（三）行业投诉量虽然有升高，但总体平稳</w:t>
      </w:r>
    </w:p>
    <w:p>
      <w:pPr>
        <w:pageBreakBefore w:val="0"/>
        <w:kinsoku/>
        <w:wordWrap/>
        <w:overflowPunct/>
        <w:topLinePunct w:val="0"/>
        <w:autoSpaceDE/>
        <w:autoSpaceDN/>
        <w:bidi w:val="0"/>
        <w:adjustRightInd/>
        <w:snapToGrid/>
        <w:spacing w:line="560" w:lineRule="exact"/>
        <w:ind w:firstLine="643" w:firstLineChars="200"/>
        <w:textAlignment w:val="auto"/>
        <w:outlineLvl w:val="1"/>
        <w:rPr>
          <w:rFonts w:hint="default" w:ascii="仿宋" w:hAnsi="仿宋" w:eastAsia="仿宋"/>
          <w:b/>
          <w:bCs/>
          <w:sz w:val="32"/>
          <w:szCs w:val="32"/>
          <w:highlight w:val="none"/>
          <w:lang w:val="en-US" w:eastAsia="zh-CN"/>
        </w:rPr>
      </w:pPr>
      <w:bookmarkStart w:id="6" w:name="_Toc18160"/>
      <w:r>
        <w:rPr>
          <w:rFonts w:hint="eastAsia" w:ascii="仿宋" w:hAnsi="仿宋" w:eastAsia="仿宋"/>
          <w:b/>
          <w:bCs/>
          <w:sz w:val="32"/>
          <w:szCs w:val="32"/>
          <w:highlight w:val="none"/>
          <w:lang w:val="en-US" w:eastAsia="zh-CN"/>
        </w:rPr>
        <w:t>1.</w:t>
      </w:r>
      <w:r>
        <w:rPr>
          <w:rFonts w:hint="default" w:ascii="仿宋" w:hAnsi="仿宋" w:eastAsia="仿宋"/>
          <w:b/>
          <w:bCs/>
          <w:sz w:val="32"/>
          <w:szCs w:val="32"/>
          <w:highlight w:val="none"/>
          <w:lang w:val="en-US" w:eastAsia="zh-CN"/>
        </w:rPr>
        <w:t>2020年8月投诉总量同比、环比分析</w:t>
      </w:r>
      <w:bookmarkEnd w:id="6"/>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sz w:val="32"/>
          <w:szCs w:val="32"/>
          <w:highlight w:val="none"/>
          <w:lang w:val="en-US" w:eastAsia="zh-CN"/>
        </w:rPr>
      </w:pPr>
      <w:r>
        <w:rPr>
          <w:rFonts w:hint="default" w:ascii="仿宋" w:hAnsi="仿宋" w:eastAsia="仿宋"/>
          <w:sz w:val="32"/>
          <w:szCs w:val="32"/>
          <w:highlight w:val="none"/>
          <w:lang w:val="en-US" w:eastAsia="zh-CN"/>
        </w:rPr>
        <w:t>2020年8月（截止8月30日）深房中协共收到投诉及咨询</w:t>
      </w:r>
      <w:r>
        <w:rPr>
          <w:rFonts w:hint="eastAsia" w:ascii="仿宋" w:hAnsi="仿宋" w:eastAsia="仿宋"/>
          <w:sz w:val="32"/>
          <w:szCs w:val="32"/>
          <w:highlight w:val="none"/>
          <w:lang w:val="en-US" w:eastAsia="zh-CN"/>
        </w:rPr>
        <w:t>16</w:t>
      </w:r>
      <w:r>
        <w:rPr>
          <w:rFonts w:hint="default" w:ascii="仿宋" w:hAnsi="仿宋" w:eastAsia="仿宋"/>
          <w:sz w:val="32"/>
          <w:szCs w:val="32"/>
          <w:highlight w:val="none"/>
          <w:lang w:val="en-US" w:eastAsia="zh-CN"/>
        </w:rPr>
        <w:t>宗，</w:t>
      </w:r>
      <w:r>
        <w:rPr>
          <w:rFonts w:hint="eastAsia" w:ascii="仿宋" w:hAnsi="仿宋" w:eastAsia="仿宋"/>
          <w:b/>
          <w:bCs/>
          <w:sz w:val="32"/>
          <w:szCs w:val="32"/>
          <w:highlight w:val="none"/>
          <w:em w:val="dot"/>
          <w:lang w:val="en-US" w:eastAsia="zh-CN"/>
        </w:rPr>
        <w:t>虽</w:t>
      </w:r>
      <w:r>
        <w:rPr>
          <w:rFonts w:hint="default" w:ascii="仿宋" w:hAnsi="仿宋" w:eastAsia="仿宋"/>
          <w:b/>
          <w:bCs/>
          <w:sz w:val="32"/>
          <w:szCs w:val="32"/>
          <w:highlight w:val="none"/>
          <w:em w:val="dot"/>
          <w:lang w:val="en-US" w:eastAsia="zh-CN"/>
        </w:rPr>
        <w:t>与去年同期（1</w:t>
      </w:r>
      <w:r>
        <w:rPr>
          <w:rFonts w:hint="eastAsia" w:ascii="仿宋" w:hAnsi="仿宋" w:eastAsia="仿宋"/>
          <w:b/>
          <w:bCs/>
          <w:sz w:val="32"/>
          <w:szCs w:val="32"/>
          <w:highlight w:val="none"/>
          <w:em w:val="dot"/>
          <w:lang w:val="en-US" w:eastAsia="zh-CN"/>
        </w:rPr>
        <w:t>3</w:t>
      </w:r>
      <w:r>
        <w:rPr>
          <w:rFonts w:hint="default" w:ascii="仿宋" w:hAnsi="仿宋" w:eastAsia="仿宋"/>
          <w:b/>
          <w:bCs/>
          <w:sz w:val="32"/>
          <w:szCs w:val="32"/>
          <w:highlight w:val="none"/>
          <w:em w:val="dot"/>
          <w:lang w:val="en-US" w:eastAsia="zh-CN"/>
        </w:rPr>
        <w:t>宗）提高了</w:t>
      </w:r>
      <w:r>
        <w:rPr>
          <w:rFonts w:hint="eastAsia" w:ascii="仿宋" w:hAnsi="仿宋" w:eastAsia="仿宋"/>
          <w:b/>
          <w:bCs/>
          <w:sz w:val="32"/>
          <w:szCs w:val="32"/>
          <w:highlight w:val="none"/>
          <w:em w:val="dot"/>
          <w:lang w:val="en-US" w:eastAsia="zh-CN"/>
        </w:rPr>
        <w:t>23</w:t>
      </w:r>
      <w:r>
        <w:rPr>
          <w:rFonts w:hint="default" w:ascii="仿宋" w:hAnsi="仿宋" w:eastAsia="仿宋"/>
          <w:b/>
          <w:bCs/>
          <w:sz w:val="32"/>
          <w:szCs w:val="32"/>
          <w:highlight w:val="none"/>
          <w:em w:val="dot"/>
          <w:lang w:val="en-US" w:eastAsia="zh-CN"/>
        </w:rPr>
        <w:t>%；与上月（</w:t>
      </w:r>
      <w:r>
        <w:rPr>
          <w:rFonts w:hint="eastAsia" w:ascii="仿宋" w:hAnsi="仿宋" w:eastAsia="仿宋"/>
          <w:b/>
          <w:bCs/>
          <w:sz w:val="32"/>
          <w:szCs w:val="32"/>
          <w:highlight w:val="none"/>
          <w:em w:val="dot"/>
          <w:lang w:val="en-US" w:eastAsia="zh-CN"/>
        </w:rPr>
        <w:t>2</w:t>
      </w:r>
      <w:r>
        <w:rPr>
          <w:rFonts w:hint="default" w:ascii="仿宋" w:hAnsi="仿宋" w:eastAsia="仿宋"/>
          <w:b/>
          <w:bCs/>
          <w:sz w:val="32"/>
          <w:szCs w:val="32"/>
          <w:highlight w:val="none"/>
          <w:em w:val="dot"/>
          <w:lang w:val="en-US" w:eastAsia="zh-CN"/>
        </w:rPr>
        <w:t>4宗）环比</w:t>
      </w:r>
      <w:r>
        <w:rPr>
          <w:rFonts w:hint="eastAsia" w:ascii="仿宋" w:hAnsi="仿宋" w:eastAsia="仿宋"/>
          <w:b/>
          <w:bCs/>
          <w:sz w:val="32"/>
          <w:szCs w:val="32"/>
          <w:highlight w:val="none"/>
          <w:em w:val="dot"/>
          <w:lang w:val="en-US" w:eastAsia="zh-CN"/>
        </w:rPr>
        <w:t>降低</w:t>
      </w:r>
      <w:r>
        <w:rPr>
          <w:rFonts w:hint="default" w:ascii="仿宋" w:hAnsi="仿宋" w:eastAsia="仿宋"/>
          <w:b/>
          <w:bCs/>
          <w:sz w:val="32"/>
          <w:szCs w:val="32"/>
          <w:highlight w:val="none"/>
          <w:em w:val="dot"/>
          <w:lang w:val="en-US" w:eastAsia="zh-CN"/>
        </w:rPr>
        <w:t>了</w:t>
      </w:r>
      <w:r>
        <w:rPr>
          <w:rFonts w:hint="eastAsia" w:ascii="仿宋" w:hAnsi="仿宋" w:eastAsia="仿宋"/>
          <w:b/>
          <w:bCs/>
          <w:sz w:val="32"/>
          <w:szCs w:val="32"/>
          <w:highlight w:val="none"/>
          <w:em w:val="dot"/>
          <w:lang w:val="en-US" w:eastAsia="zh-CN"/>
        </w:rPr>
        <w:t>33</w:t>
      </w:r>
      <w:r>
        <w:rPr>
          <w:rFonts w:hint="default" w:ascii="仿宋" w:hAnsi="仿宋" w:eastAsia="仿宋"/>
          <w:b/>
          <w:bCs/>
          <w:sz w:val="32"/>
          <w:szCs w:val="32"/>
          <w:highlight w:val="none"/>
          <w:em w:val="dot"/>
          <w:lang w:val="en-US" w:eastAsia="zh-CN"/>
        </w:rPr>
        <w:t>%</w:t>
      </w:r>
      <w:r>
        <w:rPr>
          <w:rFonts w:hint="eastAsia" w:ascii="仿宋" w:hAnsi="仿宋" w:eastAsia="仿宋"/>
          <w:b/>
          <w:bCs/>
          <w:sz w:val="32"/>
          <w:szCs w:val="32"/>
          <w:highlight w:val="none"/>
          <w:em w:val="dot"/>
          <w:lang w:val="en-US" w:eastAsia="zh-CN"/>
        </w:rPr>
        <w:t>，总体而言较为平稳可控。</w:t>
      </w:r>
    </w:p>
    <w:p>
      <w:pPr>
        <w:pageBreakBefore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hint="default" w:ascii="仿宋" w:hAnsi="仿宋" w:eastAsia="仿宋"/>
          <w:b/>
          <w:bCs/>
          <w:sz w:val="32"/>
          <w:szCs w:val="32"/>
          <w:highlight w:val="none"/>
          <w:lang w:val="en-US" w:eastAsia="zh-CN"/>
        </w:rPr>
      </w:pPr>
      <w:bookmarkStart w:id="7" w:name="_Toc21029"/>
      <w:r>
        <w:rPr>
          <w:rFonts w:hint="eastAsia" w:ascii="仿宋" w:hAnsi="仿宋" w:eastAsia="仿宋"/>
          <w:b/>
          <w:bCs/>
          <w:sz w:val="32"/>
          <w:szCs w:val="32"/>
          <w:highlight w:val="none"/>
          <w:lang w:val="en-US" w:eastAsia="zh-CN"/>
        </w:rPr>
        <w:t>2.</w:t>
      </w:r>
      <w:r>
        <w:rPr>
          <w:rFonts w:hint="default" w:ascii="仿宋" w:hAnsi="仿宋" w:eastAsia="仿宋"/>
          <w:b/>
          <w:bCs/>
          <w:sz w:val="32"/>
          <w:szCs w:val="32"/>
          <w:highlight w:val="none"/>
          <w:lang w:val="en-US" w:eastAsia="zh-CN"/>
        </w:rPr>
        <w:t>房地产中介纠纷协调情况</w:t>
      </w:r>
      <w:bookmarkEnd w:id="7"/>
    </w:p>
    <w:p>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top"/>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（数据来源：深房中协中介标准指数）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sz w:val="32"/>
          <w:szCs w:val="32"/>
          <w:highlight w:val="none"/>
          <w:lang w:val="en-US" w:eastAsia="zh-CN"/>
        </w:rPr>
      </w:pPr>
      <w:r>
        <w:rPr>
          <w:rFonts w:hint="default" w:ascii="仿宋" w:hAnsi="仿宋" w:eastAsia="仿宋"/>
          <w:sz w:val="32"/>
          <w:szCs w:val="32"/>
          <w:highlight w:val="none"/>
          <w:lang w:val="en-US" w:eastAsia="zh-CN"/>
        </w:rPr>
        <w:t>75%的投诉（包含补充投诉材料中、调解中等）还在处理中。其余投诉已通过“协商”、“经济纠纷建议循司法途</w:t>
      </w:r>
      <w:r>
        <w:rPr>
          <w:highlight w:val="none"/>
        </w:rPr>
        <w:drawing>
          <wp:anchor distT="0" distB="0" distL="114300" distR="114300" simplePos="0" relativeHeight="251693056" behindDoc="0" locked="0" layoutInCell="1" allowOverlap="1">
            <wp:simplePos x="0" y="0"/>
            <wp:positionH relativeFrom="column">
              <wp:posOffset>847090</wp:posOffset>
            </wp:positionH>
            <wp:positionV relativeFrom="page">
              <wp:posOffset>1082040</wp:posOffset>
            </wp:positionV>
            <wp:extent cx="3662680" cy="1869440"/>
            <wp:effectExtent l="4445" t="4445" r="9525" b="12065"/>
            <wp:wrapTopAndBottom/>
            <wp:docPr id="3068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default" w:ascii="仿宋" w:hAnsi="仿宋" w:eastAsia="仿宋"/>
          <w:sz w:val="32"/>
          <w:szCs w:val="32"/>
          <w:highlight w:val="none"/>
          <w:lang w:val="en-US" w:eastAsia="zh-CN"/>
        </w:rPr>
        <w:t>径”等进行协调解决（合计占比2</w:t>
      </w:r>
      <w:r>
        <w:rPr>
          <w:rFonts w:hint="eastAsia" w:ascii="仿宋" w:hAnsi="仿宋" w:eastAsia="仿宋"/>
          <w:sz w:val="32"/>
          <w:szCs w:val="32"/>
          <w:highlight w:val="none"/>
          <w:lang w:val="en-US" w:eastAsia="zh-CN"/>
        </w:rPr>
        <w:t>5</w:t>
      </w:r>
      <w:r>
        <w:rPr>
          <w:rFonts w:hint="default" w:ascii="仿宋" w:hAnsi="仿宋" w:eastAsia="仿宋"/>
          <w:sz w:val="32"/>
          <w:szCs w:val="32"/>
          <w:highlight w:val="none"/>
          <w:lang w:val="en-US" w:eastAsia="zh-CN"/>
        </w:rPr>
        <w:t>%）。</w:t>
      </w:r>
    </w:p>
    <w:p>
      <w:pPr>
        <w:pageBreakBefore w:val="0"/>
        <w:numPr>
          <w:ilvl w:val="0"/>
          <w:numId w:val="0"/>
        </w:numPr>
        <w:kinsoku/>
        <w:wordWrap/>
        <w:overflowPunct/>
        <w:topLinePunct w:val="0"/>
        <w:autoSpaceDE/>
        <w:autoSpaceDN/>
        <w:bidi w:val="0"/>
        <w:adjustRightInd/>
        <w:snapToGrid/>
        <w:spacing w:line="560" w:lineRule="exact"/>
        <w:ind w:leftChars="200" w:firstLine="321" w:firstLineChars="100"/>
        <w:textAlignment w:val="auto"/>
        <w:outlineLvl w:val="1"/>
        <w:rPr>
          <w:rFonts w:hint="default" w:ascii="仿宋" w:hAnsi="仿宋" w:eastAsia="仿宋"/>
          <w:b/>
          <w:bCs/>
          <w:sz w:val="32"/>
          <w:szCs w:val="32"/>
          <w:highlight w:val="none"/>
          <w:lang w:val="en-US" w:eastAsia="zh-CN"/>
        </w:rPr>
      </w:pPr>
      <w:bookmarkStart w:id="8" w:name="_Toc18950"/>
      <w:r>
        <w:rPr>
          <w:rFonts w:hint="eastAsia" w:ascii="仿宋" w:hAnsi="仿宋" w:eastAsia="仿宋"/>
          <w:b/>
          <w:bCs/>
          <w:sz w:val="32"/>
          <w:szCs w:val="32"/>
          <w:highlight w:val="none"/>
          <w:lang w:val="en-US" w:eastAsia="zh-CN"/>
        </w:rPr>
        <w:t>3.</w:t>
      </w:r>
      <w:r>
        <w:rPr>
          <w:rFonts w:hint="default" w:ascii="仿宋" w:hAnsi="仿宋" w:eastAsia="仿宋"/>
          <w:b/>
          <w:bCs/>
          <w:sz w:val="32"/>
          <w:szCs w:val="32"/>
          <w:highlight w:val="none"/>
          <w:lang w:val="en-US" w:eastAsia="zh-CN"/>
        </w:rPr>
        <w:t>投诉高发点仍集中在“交易信息纠纷”</w:t>
      </w:r>
      <w:bookmarkEnd w:id="8"/>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i w:val="0"/>
          <w:caps w:val="0"/>
          <w:color w:val="000000"/>
          <w:spacing w:val="0"/>
          <w:sz w:val="32"/>
          <w:szCs w:val="32"/>
        </w:rPr>
      </w:pPr>
      <w:r>
        <w:rPr>
          <w:rFonts w:hint="default" w:ascii="仿宋" w:hAnsi="仿宋" w:eastAsia="仿宋"/>
          <w:sz w:val="32"/>
          <w:szCs w:val="32"/>
          <w:highlight w:val="none"/>
          <w:lang w:val="en-US" w:eastAsia="zh-CN"/>
        </w:rPr>
        <w:t>2020年8月，交易信息纠纷（占比</w:t>
      </w:r>
      <w:r>
        <w:rPr>
          <w:rFonts w:hint="eastAsia" w:ascii="仿宋" w:hAnsi="仿宋" w:eastAsia="仿宋"/>
          <w:sz w:val="32"/>
          <w:szCs w:val="32"/>
          <w:highlight w:val="none"/>
          <w:lang w:val="en-US" w:eastAsia="zh-CN"/>
        </w:rPr>
        <w:t>6</w:t>
      </w:r>
      <w:r>
        <w:rPr>
          <w:rFonts w:hint="default" w:ascii="仿宋" w:hAnsi="仿宋" w:eastAsia="仿宋"/>
          <w:sz w:val="32"/>
          <w:szCs w:val="32"/>
          <w:highlight w:val="none"/>
          <w:lang w:val="en-US" w:eastAsia="zh-CN"/>
        </w:rPr>
        <w:t>9%）成为投诉高发问题。“交易信息纠纷”（共1</w:t>
      </w:r>
      <w:r>
        <w:rPr>
          <w:rFonts w:hint="eastAsia" w:ascii="仿宋" w:hAnsi="仿宋" w:eastAsia="仿宋"/>
          <w:sz w:val="32"/>
          <w:szCs w:val="32"/>
          <w:highlight w:val="none"/>
          <w:lang w:val="en-US" w:eastAsia="zh-CN"/>
        </w:rPr>
        <w:t>1</w:t>
      </w:r>
      <w:r>
        <w:rPr>
          <w:rFonts w:hint="default" w:ascii="仿宋" w:hAnsi="仿宋" w:eastAsia="仿宋"/>
          <w:sz w:val="32"/>
          <w:szCs w:val="32"/>
          <w:highlight w:val="none"/>
          <w:lang w:val="en-US" w:eastAsia="zh-CN"/>
        </w:rPr>
        <w:t>宗）</w:t>
      </w:r>
      <w:r>
        <w:rPr>
          <w:rFonts w:hint="eastAsia" w:ascii="仿宋" w:hAnsi="仿宋" w:eastAsia="仿宋" w:cs="仿宋"/>
          <w:color w:val="auto"/>
          <w:sz w:val="32"/>
          <w:szCs w:val="32"/>
          <w:highlight w:val="none"/>
        </w:rPr>
        <w:t>主要是因为二手房交易流程复杂，涉及税费，学位，户口，装修乃至婚姻关系，家庭成员财产状况等多方面信息。另外，包含了租赁、房源广告发布问题，交易流程不透明、难透明一直是二手房交易纠纷多发的主要原因之一。</w:t>
      </w:r>
      <w:r>
        <w:rPr>
          <w:rFonts w:hint="eastAsia" w:ascii="仿宋" w:hAnsi="仿宋" w:eastAsia="仿宋" w:cs="仿宋"/>
          <w:color w:val="auto"/>
          <w:sz w:val="32"/>
          <w:szCs w:val="32"/>
          <w:highlight w:val="none"/>
          <w:lang w:val="en-US" w:eastAsia="zh-CN"/>
        </w:rPr>
        <w:t>且在</w:t>
      </w:r>
      <w:r>
        <w:rPr>
          <w:rFonts w:hint="eastAsia" w:ascii="仿宋" w:hAnsi="仿宋" w:eastAsia="仿宋" w:cs="仿宋"/>
          <w:sz w:val="32"/>
          <w:szCs w:val="32"/>
          <w:lang w:val="en-US" w:eastAsia="zh-CN"/>
        </w:rPr>
        <w:t>7</w:t>
      </w:r>
      <w:r>
        <w:rPr>
          <w:rFonts w:hint="eastAsia" w:ascii="宋体" w:hAnsi="宋体" w:eastAsia="宋体" w:cs="宋体"/>
          <w:sz w:val="32"/>
          <w:szCs w:val="32"/>
          <w:lang w:val="en-US" w:eastAsia="zh-CN"/>
        </w:rPr>
        <w:t>•</w:t>
      </w:r>
      <w:r>
        <w:rPr>
          <w:rFonts w:hint="eastAsia" w:ascii="仿宋" w:hAnsi="仿宋" w:eastAsia="仿宋" w:cs="仿宋"/>
          <w:sz w:val="32"/>
          <w:szCs w:val="32"/>
          <w:lang w:val="en-US" w:eastAsia="zh-CN"/>
        </w:rPr>
        <w:t>15</w:t>
      </w:r>
      <w:r>
        <w:rPr>
          <w:rFonts w:hint="eastAsia" w:ascii="仿宋" w:hAnsi="仿宋" w:eastAsia="仿宋" w:cs="仿宋"/>
          <w:color w:val="auto"/>
          <w:sz w:val="32"/>
          <w:szCs w:val="32"/>
          <w:highlight w:val="none"/>
          <w:lang w:val="en-US" w:eastAsia="zh-CN"/>
        </w:rPr>
        <w:t>新</w:t>
      </w:r>
      <w:r>
        <w:rPr>
          <w:rFonts w:hint="eastAsia" w:ascii="仿宋" w:hAnsi="仿宋" w:eastAsia="仿宋"/>
          <w:color w:val="auto"/>
          <w:sz w:val="32"/>
          <w:szCs w:val="32"/>
          <w:highlight w:val="none"/>
          <w:lang w:val="en-US" w:eastAsia="zh-CN"/>
        </w:rPr>
        <w:t>政发布前，受市场价格哄抬等因素，导致价格过热过高，消费者基于“买涨不买跌”的心态引发冲动性消费。一旦政策落地，市场迅速回稳，部分投机消费者预期落空，</w:t>
      </w:r>
      <w:r>
        <w:rPr>
          <w:rFonts w:hint="eastAsia" w:ascii="仿宋" w:hAnsi="仿宋" w:eastAsia="仿宋" w:cs="仿宋"/>
          <w:i w:val="0"/>
          <w:caps w:val="0"/>
          <w:color w:val="000000"/>
          <w:spacing w:val="0"/>
          <w:sz w:val="31"/>
          <w:szCs w:val="31"/>
          <w:lang w:val="en-US" w:eastAsia="zh-CN"/>
        </w:rPr>
        <w:t>产生</w:t>
      </w:r>
      <w:r>
        <w:rPr>
          <w:rFonts w:ascii="仿宋" w:hAnsi="仿宋" w:eastAsia="仿宋" w:cs="仿宋"/>
          <w:i w:val="0"/>
          <w:caps w:val="0"/>
          <w:color w:val="000000"/>
          <w:spacing w:val="0"/>
          <w:sz w:val="31"/>
          <w:szCs w:val="31"/>
        </w:rPr>
        <w:t>交易一方单边毁约的情形</w:t>
      </w:r>
      <w:r>
        <w:rPr>
          <w:rFonts w:hint="eastAsia" w:ascii="仿宋" w:hAnsi="仿宋" w:eastAsia="仿宋"/>
          <w:color w:val="auto"/>
          <w:sz w:val="32"/>
          <w:szCs w:val="32"/>
          <w:highlight w:val="none"/>
          <w:lang w:val="en-US" w:eastAsia="zh-CN"/>
        </w:rPr>
        <w:t>，</w:t>
      </w:r>
      <w:r>
        <w:rPr>
          <w:rFonts w:ascii="仿宋" w:hAnsi="仿宋" w:eastAsia="仿宋" w:cs="仿宋"/>
          <w:i w:val="0"/>
          <w:caps w:val="0"/>
          <w:color w:val="000000"/>
          <w:spacing w:val="0"/>
          <w:sz w:val="32"/>
          <w:szCs w:val="32"/>
        </w:rPr>
        <w:t>从而引起相应交易纠纷或行业投诉</w:t>
      </w:r>
      <w:r>
        <w:rPr>
          <w:rFonts w:hint="eastAsia" w:ascii="仿宋" w:hAnsi="仿宋" w:eastAsia="仿宋" w:cs="仿宋"/>
          <w:i w:val="0"/>
          <w:caps w:val="0"/>
          <w:color w:val="000000"/>
          <w:spacing w:val="0"/>
          <w:sz w:val="32"/>
          <w:szCs w:val="32"/>
          <w:lang w:val="en-US" w:eastAsia="zh-CN"/>
        </w:rPr>
        <w:t>多发</w:t>
      </w:r>
      <w:r>
        <w:rPr>
          <w:rFonts w:ascii="仿宋" w:hAnsi="仿宋" w:eastAsia="仿宋" w:cs="仿宋"/>
          <w:i w:val="0"/>
          <w:caps w:val="0"/>
          <w:color w:val="000000"/>
          <w:spacing w:val="0"/>
          <w:sz w:val="32"/>
          <w:szCs w:val="32"/>
        </w:rPr>
        <w:t>。</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i w:val="0"/>
          <w:caps w:val="0"/>
          <w:color w:val="000000"/>
          <w:spacing w:val="0"/>
          <w:sz w:val="32"/>
          <w:szCs w:val="32"/>
        </w:rPr>
      </w:pP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i w:val="0"/>
          <w:caps w:val="0"/>
          <w:color w:val="000000"/>
          <w:spacing w:val="0"/>
          <w:sz w:val="32"/>
          <w:szCs w:val="32"/>
        </w:rPr>
      </w:pP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i w:val="0"/>
          <w:caps w:val="0"/>
          <w:color w:val="000000"/>
          <w:spacing w:val="0"/>
          <w:sz w:val="32"/>
          <w:szCs w:val="32"/>
        </w:rPr>
      </w:pP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i w:val="0"/>
          <w:caps w:val="0"/>
          <w:color w:val="000000"/>
          <w:spacing w:val="0"/>
          <w:sz w:val="32"/>
          <w:szCs w:val="32"/>
          <w:lang w:val="en-US" w:eastAsia="zh-CN"/>
        </w:rPr>
      </w:pPr>
    </w:p>
    <w:p>
      <w:pPr>
        <w:pStyle w:val="11"/>
        <w:spacing w:line="560" w:lineRule="exact"/>
        <w:rPr>
          <w:rFonts w:hint="eastAsia" w:ascii="仿宋" w:hAnsi="仿宋" w:eastAsia="仿宋"/>
          <w:color w:val="auto"/>
          <w:sz w:val="32"/>
          <w:szCs w:val="32"/>
          <w:highlight w:val="none"/>
          <w:lang w:val="en-US" w:eastAsia="zh-CN"/>
        </w:rPr>
      </w:pPr>
      <w:r>
        <w:rPr>
          <w:highlight w:val="none"/>
        </w:rPr>
        <w:drawing>
          <wp:anchor distT="0" distB="0" distL="114300" distR="114300" simplePos="0" relativeHeight="251729920" behindDoc="1" locked="0" layoutInCell="1" allowOverlap="1">
            <wp:simplePos x="0" y="0"/>
            <wp:positionH relativeFrom="column">
              <wp:posOffset>1048385</wp:posOffset>
            </wp:positionH>
            <wp:positionV relativeFrom="page">
              <wp:posOffset>863600</wp:posOffset>
            </wp:positionV>
            <wp:extent cx="3267710" cy="1818640"/>
            <wp:effectExtent l="4445" t="4445" r="23495" b="5715"/>
            <wp:wrapNone/>
            <wp:docPr id="3068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11"/>
        <w:spacing w:line="560" w:lineRule="exact"/>
        <w:rPr>
          <w:rFonts w:hint="eastAsia" w:ascii="仿宋" w:hAnsi="仿宋" w:eastAsia="仿宋"/>
          <w:color w:val="auto"/>
          <w:sz w:val="32"/>
          <w:szCs w:val="32"/>
          <w:highlight w:val="none"/>
          <w:lang w:val="en-US" w:eastAsia="zh-CN"/>
        </w:rPr>
      </w:pPr>
    </w:p>
    <w:p>
      <w:pPr>
        <w:pStyle w:val="11"/>
        <w:spacing w:line="560" w:lineRule="exact"/>
        <w:rPr>
          <w:rFonts w:hint="eastAsia" w:ascii="仿宋" w:hAnsi="仿宋" w:eastAsia="仿宋"/>
          <w:color w:val="auto"/>
          <w:sz w:val="32"/>
          <w:szCs w:val="32"/>
          <w:highlight w:val="none"/>
          <w:lang w:val="en-US" w:eastAsia="zh-CN"/>
        </w:rPr>
      </w:pPr>
    </w:p>
    <w:p>
      <w:pPr>
        <w:pStyle w:val="11"/>
        <w:spacing w:line="560" w:lineRule="exact"/>
        <w:rPr>
          <w:rFonts w:hint="eastAsia" w:ascii="仿宋" w:hAnsi="仿宋" w:eastAsia="仿宋"/>
          <w:color w:val="auto"/>
          <w:sz w:val="32"/>
          <w:szCs w:val="32"/>
          <w:highlight w:val="none"/>
          <w:lang w:val="en-US" w:eastAsia="zh-CN"/>
        </w:rPr>
      </w:pPr>
    </w:p>
    <w:p>
      <w:pPr>
        <w:pStyle w:val="11"/>
        <w:spacing w:line="560" w:lineRule="exact"/>
        <w:rPr>
          <w:rFonts w:hint="eastAsia" w:ascii="仿宋" w:hAnsi="仿宋" w:eastAsia="仿宋"/>
          <w:color w:val="auto"/>
          <w:sz w:val="32"/>
          <w:szCs w:val="32"/>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top"/>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（数据来源：深房中协中介标准指数）</w:t>
      </w:r>
    </w:p>
    <w:p>
      <w:pPr>
        <w:pStyle w:val="11"/>
        <w:keepNext w:val="0"/>
        <w:keepLines w:val="0"/>
        <w:pageBreakBefore w:val="0"/>
        <w:widowControl w:val="0"/>
        <w:kinsoku/>
        <w:wordWrap/>
        <w:overflowPunct/>
        <w:topLinePunct w:val="0"/>
        <w:autoSpaceDE/>
        <w:autoSpaceDN/>
        <w:bidi w:val="0"/>
        <w:adjustRightInd/>
        <w:snapToGrid/>
        <w:spacing w:line="560" w:lineRule="exact"/>
        <w:rPr>
          <w:rFonts w:hint="default" w:ascii="仿宋" w:hAnsi="仿宋" w:eastAsia="仿宋"/>
          <w:sz w:val="32"/>
          <w:szCs w:val="32"/>
          <w:highlight w:val="yellow"/>
          <w:lang w:val="en-US" w:eastAsia="zh-CN"/>
        </w:rPr>
      </w:pPr>
      <w:r>
        <w:rPr>
          <w:rFonts w:hint="eastAsia" w:ascii="仿宋" w:hAnsi="仿宋" w:eastAsia="仿宋"/>
          <w:color w:val="auto"/>
          <w:sz w:val="32"/>
          <w:szCs w:val="32"/>
          <w:highlight w:val="none"/>
          <w:lang w:val="en-US" w:eastAsia="zh-CN"/>
        </w:rPr>
        <w:t>但上述投诉中仅有1宗确属</w:t>
      </w:r>
      <w:r>
        <w:rPr>
          <w:rFonts w:hint="eastAsia" w:ascii="仿宋" w:hAnsi="仿宋" w:eastAsia="仿宋" w:cs="仿宋"/>
          <w:sz w:val="32"/>
          <w:szCs w:val="32"/>
          <w:lang w:val="en-US" w:eastAsia="zh-CN"/>
        </w:rPr>
        <w:t>7</w:t>
      </w:r>
      <w:r>
        <w:rPr>
          <w:rFonts w:hint="eastAsia" w:ascii="宋体" w:hAnsi="宋体" w:eastAsia="宋体" w:cs="宋体"/>
          <w:sz w:val="32"/>
          <w:szCs w:val="32"/>
          <w:lang w:val="en-US" w:eastAsia="zh-CN"/>
        </w:rPr>
        <w:t>•</w:t>
      </w:r>
      <w:r>
        <w:rPr>
          <w:rFonts w:hint="eastAsia" w:ascii="仿宋" w:hAnsi="仿宋" w:eastAsia="仿宋" w:cs="仿宋"/>
          <w:sz w:val="32"/>
          <w:szCs w:val="32"/>
          <w:lang w:val="en-US" w:eastAsia="zh-CN"/>
        </w:rPr>
        <w:t>15</w:t>
      </w:r>
      <w:r>
        <w:rPr>
          <w:rFonts w:hint="eastAsia" w:ascii="仿宋" w:hAnsi="仿宋" w:eastAsia="仿宋"/>
          <w:color w:val="auto"/>
          <w:sz w:val="32"/>
          <w:szCs w:val="32"/>
          <w:highlight w:val="none"/>
          <w:lang w:val="en-US" w:eastAsia="zh-CN"/>
        </w:rPr>
        <w:t>新政导致购房资格存在争议纠纷，目前正在受理调查中。</w:t>
      </w:r>
      <w:r>
        <w:rPr>
          <w:rFonts w:hint="eastAsia" w:ascii="仿宋" w:hAnsi="仿宋" w:eastAsia="仿宋" w:cs="仿宋"/>
          <w:i w:val="0"/>
          <w:caps w:val="0"/>
          <w:color w:val="000000"/>
          <w:spacing w:val="0"/>
          <w:sz w:val="32"/>
          <w:szCs w:val="32"/>
          <w:lang w:val="en-US" w:eastAsia="zh-CN"/>
        </w:rPr>
        <w:t>经过一个多月的消化，各房地产中介机构对此前因政策影响的“在途单”也充分发挥了其居中化解交易分歧作用，协助交易各方克服政策原因所带来种种影响，积极消化大量纠纷矛盾，稳定了房地产市场秩序。</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四、9月楼市小预测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（一）二手房网签量触底或将在9月体现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深房中协与各会员机构沟通交流了解到，目前我市二手房网签中仍有一小部分“在途单”陆续网签。因此，预计进入9月后，随着“在途单”的陆续耗尽，二手房网签数据或许才能完全体现出新政后的市场实际情况，因而现阶段认为市场已完全触底，可能为时尚早，深房中协预计市场触底行情或将在9月份逐渐显现出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（二）随着时间推移，买卖双方将持续角力进入深度拉锯阶段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虽然现阶段一小部分业主已出现下调房源报价以试探市场反映，但目前市场仍处新政的消化期，大部分业主还因此前市场上涨的惯性思维并未在短时间内彻底发生变化，仍然保持着楼市将持续上涨的“信心”；另一方则是买方因新政的影响，迅速回归理性，对于新政后仍握有宝贵的房票，更是采取多比较，多观望的态度，谨慎入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0"/>
          <w:sz w:val="32"/>
          <w:szCs w:val="32"/>
          <w:lang w:val="en-US" w:eastAsia="zh-CN"/>
        </w:rPr>
      </w:pPr>
      <w:r>
        <w:rPr>
          <w:rFonts w:hint="eastAsia" w:ascii="仿宋" w:hAnsi="仿宋" w:eastAsia="仿宋" w:cs="仿宋"/>
          <w:sz w:val="32"/>
          <w:szCs w:val="32"/>
          <w:lang w:val="en-US" w:eastAsia="zh-CN"/>
        </w:rPr>
        <w:t>从这“一热一冷”的两面比较分析，</w:t>
      </w:r>
      <w:r>
        <w:rPr>
          <w:rFonts w:hint="eastAsia" w:ascii="仿宋" w:hAnsi="仿宋" w:eastAsia="仿宋" w:cs="仿宋"/>
          <w:b/>
          <w:bCs/>
          <w:sz w:val="32"/>
          <w:szCs w:val="32"/>
          <w:em w:val="dot"/>
          <w:lang w:val="en-US" w:eastAsia="zh-CN"/>
        </w:rPr>
        <w:t>市场此前全面看涨的局面，已发生根本扭转，分化与角力已在买卖双方间上演</w:t>
      </w:r>
      <w:r>
        <w:rPr>
          <w:rFonts w:hint="eastAsia" w:ascii="仿宋" w:hAnsi="仿宋" w:eastAsia="仿宋" w:cs="仿宋"/>
          <w:sz w:val="32"/>
          <w:szCs w:val="32"/>
          <w:lang w:val="en-US" w:eastAsia="zh-CN"/>
        </w:rPr>
        <w:t>，深房中协预测，</w:t>
      </w:r>
      <w:r>
        <w:rPr>
          <w:rFonts w:hint="eastAsia" w:ascii="仿宋" w:hAnsi="仿宋" w:eastAsia="仿宋" w:cs="仿宋"/>
          <w:b/>
          <w:bCs/>
          <w:sz w:val="32"/>
          <w:szCs w:val="32"/>
          <w:em w:val="dot"/>
          <w:lang w:val="en-US" w:eastAsia="zh-CN"/>
        </w:rPr>
        <w:t>随着时间的推移，买卖双方将持续角力，并逐渐进入深度拉锯阶段，届时，我市二手房交易量或将出现较长周期的低位平稳运行态势。</w:t>
      </w:r>
      <w:r>
        <w:rPr>
          <w:rFonts w:hint="eastAsia" w:ascii="仿宋" w:hAnsi="仿宋" w:eastAsia="仿宋" w:cs="仿宋"/>
          <w:sz w:val="32"/>
          <w:szCs w:val="32"/>
          <w:lang w:val="en-US" w:eastAsia="zh-CN"/>
        </w:rPr>
        <w:t>因此，今年的“金九”行情也会因新政影响而被蒙上了一层“阴影”。</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1"/>
    <w:family w:val="auto"/>
    <w:pitch w:val="default"/>
    <w:sig w:usb0="E00002FF" w:usb1="4000ACFF" w:usb2="00000001" w:usb3="00000000" w:csb0="2000019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幼圆">
    <w:panose1 w:val="02010509060101010101"/>
    <w:charset w:val="86"/>
    <w:family w:val="roman"/>
    <w:pitch w:val=""/>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D1116E"/>
    <w:rsid w:val="051C3D45"/>
    <w:rsid w:val="05647A08"/>
    <w:rsid w:val="067275BA"/>
    <w:rsid w:val="06D93F5D"/>
    <w:rsid w:val="06ED3036"/>
    <w:rsid w:val="078E334A"/>
    <w:rsid w:val="08F92EE2"/>
    <w:rsid w:val="0AB44BAA"/>
    <w:rsid w:val="0C2566DD"/>
    <w:rsid w:val="0D7E607E"/>
    <w:rsid w:val="0EF852FE"/>
    <w:rsid w:val="0F171518"/>
    <w:rsid w:val="15D26954"/>
    <w:rsid w:val="163F3866"/>
    <w:rsid w:val="16B45F3A"/>
    <w:rsid w:val="1A53403E"/>
    <w:rsid w:val="1A6349F5"/>
    <w:rsid w:val="1D4825E0"/>
    <w:rsid w:val="1D6B732B"/>
    <w:rsid w:val="1F6C5A4B"/>
    <w:rsid w:val="1F891F8F"/>
    <w:rsid w:val="1FA21BD3"/>
    <w:rsid w:val="221966B1"/>
    <w:rsid w:val="22600A2F"/>
    <w:rsid w:val="24576348"/>
    <w:rsid w:val="245B7211"/>
    <w:rsid w:val="26AA77D8"/>
    <w:rsid w:val="270465E1"/>
    <w:rsid w:val="29490AA9"/>
    <w:rsid w:val="297B5AE5"/>
    <w:rsid w:val="29D822C0"/>
    <w:rsid w:val="2C5A0AF1"/>
    <w:rsid w:val="302154B1"/>
    <w:rsid w:val="32244773"/>
    <w:rsid w:val="35912D10"/>
    <w:rsid w:val="37856AC3"/>
    <w:rsid w:val="38076C4A"/>
    <w:rsid w:val="38572701"/>
    <w:rsid w:val="3B1F0564"/>
    <w:rsid w:val="3B3132C7"/>
    <w:rsid w:val="3D3709F1"/>
    <w:rsid w:val="3D545381"/>
    <w:rsid w:val="3F096C09"/>
    <w:rsid w:val="41911686"/>
    <w:rsid w:val="42D452C3"/>
    <w:rsid w:val="457A4928"/>
    <w:rsid w:val="45D15413"/>
    <w:rsid w:val="47836CA4"/>
    <w:rsid w:val="495E048C"/>
    <w:rsid w:val="49B924C8"/>
    <w:rsid w:val="49DA5E06"/>
    <w:rsid w:val="4B025E0B"/>
    <w:rsid w:val="4D6C4323"/>
    <w:rsid w:val="503308D8"/>
    <w:rsid w:val="517F34BF"/>
    <w:rsid w:val="53B12FD8"/>
    <w:rsid w:val="55176F81"/>
    <w:rsid w:val="57685049"/>
    <w:rsid w:val="5DC95FA5"/>
    <w:rsid w:val="5E74322E"/>
    <w:rsid w:val="5F7756A8"/>
    <w:rsid w:val="5FFF3F7E"/>
    <w:rsid w:val="6115473B"/>
    <w:rsid w:val="621A2CAB"/>
    <w:rsid w:val="628423BD"/>
    <w:rsid w:val="64663095"/>
    <w:rsid w:val="646763EF"/>
    <w:rsid w:val="667C1802"/>
    <w:rsid w:val="66C5215B"/>
    <w:rsid w:val="687C7968"/>
    <w:rsid w:val="68BC1911"/>
    <w:rsid w:val="6BA36512"/>
    <w:rsid w:val="6D98246A"/>
    <w:rsid w:val="6EC240BA"/>
    <w:rsid w:val="73D72AF1"/>
    <w:rsid w:val="763874FA"/>
    <w:rsid w:val="77A1518A"/>
    <w:rsid w:val="78F52ACC"/>
    <w:rsid w:val="7A05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paragraph" w:styleId="10">
    <w:name w:val="List Paragraph"/>
    <w:basedOn w:val="1"/>
    <w:qFormat/>
    <w:uiPriority w:val="26"/>
    <w:pPr>
      <w:ind w:firstLine="420" w:firstLineChars="200"/>
    </w:pPr>
  </w:style>
  <w:style w:type="paragraph" w:customStyle="1" w:styleId="11">
    <w:name w:val="列出段落1"/>
    <w:basedOn w:val="1"/>
    <w:qFormat/>
    <w:uiPriority w:val="34"/>
    <w:pPr>
      <w:ind w:firstLine="420" w:firstLineChars="200"/>
    </w:pPr>
  </w:style>
  <w:style w:type="character" w:customStyle="1" w:styleId="12">
    <w:name w:val="font41"/>
    <w:basedOn w:val="7"/>
    <w:qFormat/>
    <w:uiPriority w:val="0"/>
    <w:rPr>
      <w:rFonts w:hint="eastAsia" w:ascii="宋体" w:hAnsi="宋体" w:eastAsia="宋体" w:cs="宋体"/>
      <w:b/>
      <w:color w:val="000000"/>
      <w:sz w:val="18"/>
      <w:szCs w:val="18"/>
      <w:u w:val="none"/>
    </w:rPr>
  </w:style>
  <w:style w:type="character" w:customStyle="1" w:styleId="13">
    <w:name w:val="font21"/>
    <w:basedOn w:val="7"/>
    <w:qFormat/>
    <w:uiPriority w:val="0"/>
    <w:rPr>
      <w:rFonts w:hint="eastAsia" w:ascii="宋体" w:hAnsi="宋体" w:eastAsia="宋体" w:cs="宋体"/>
      <w:b/>
      <w:color w:val="FF0000"/>
      <w:sz w:val="18"/>
      <w:szCs w:val="18"/>
      <w:u w:val="none"/>
    </w:rPr>
  </w:style>
  <w:style w:type="character" w:customStyle="1" w:styleId="14">
    <w:name w:val="font31"/>
    <w:basedOn w:val="7"/>
    <w:qFormat/>
    <w:uiPriority w:val="0"/>
    <w:rPr>
      <w:rFonts w:hint="eastAsia" w:ascii="宋体" w:hAnsi="宋体" w:eastAsia="宋体" w:cs="宋体"/>
      <w:b/>
      <w:color w:val="000000"/>
      <w:sz w:val="18"/>
      <w:szCs w:val="18"/>
      <w:u w:val="none"/>
    </w:rPr>
  </w:style>
  <w:style w:type="character" w:customStyle="1" w:styleId="15">
    <w:name w:val="font01"/>
    <w:basedOn w:val="7"/>
    <w:qFormat/>
    <w:uiPriority w:val="0"/>
    <w:rPr>
      <w:rFonts w:hint="eastAsia" w:ascii="宋体" w:hAnsi="宋体" w:eastAsia="宋体" w:cs="宋体"/>
      <w:b/>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28145;&#25151;&#20013;&#21327;&#21608;&#34893;&#27743;\Desktop\&#22996;&#20869;&#26376;&#25253;\202008\&#25968;&#25454;&#26679;&#34920;.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28145;&#25151;&#20013;&#21327;&#21608;&#34893;&#27743;\Desktop\&#22996;&#20869;&#26376;&#25253;\202008\&#25968;&#25454;&#26679;&#349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26032;&#21152;&#21367;\2020&#24180;&#24037;&#20316;&#25991;&#20214;&#22841;\&#26376;&#25253;\&#25968;&#25454;&#65288;&#27719;&#24635;&#65289;.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26032;&#21152;&#21367;\2020&#24180;&#24037;&#20316;&#25991;&#20214;&#22841;\&#26376;&#25253;\&#25968;&#25454;&#65288;&#27719;&#24635;&#6528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0" i="0" u="none" strike="noStrike" kern="1200" spc="0" baseline="0">
                <a:solidFill>
                  <a:sysClr val="windowText" lastClr="000000">
                    <a:lumMod val="65000"/>
                    <a:lumOff val="35000"/>
                  </a:sysClr>
                </a:solidFill>
                <a:latin typeface="+mn-lt"/>
                <a:ea typeface="+mn-ea"/>
                <a:cs typeface="+mn-cs"/>
              </a:defRPr>
            </a:pPr>
            <a:r>
              <a:rPr altLang="en-US" sz="1200" b="1">
                <a:latin typeface="黑体" panose="02010609060101010101" charset="-122"/>
                <a:ea typeface="黑体" panose="02010609060101010101" charset="-122"/>
                <a:cs typeface="黑体" panose="02010609060101010101" charset="-122"/>
              </a:rPr>
              <a:t>一手住宅成交（过户）套数</a:t>
            </a:r>
            <a:endParaRPr altLang="en-US" sz="1200" b="1">
              <a:latin typeface="黑体" panose="02010609060101010101" charset="-122"/>
              <a:ea typeface="黑体" panose="02010609060101010101" charset="-122"/>
              <a:cs typeface="黑体" panose="02010609060101010101" charset="-122"/>
            </a:endParaRPr>
          </a:p>
        </c:rich>
      </c:tx>
      <c:layout>
        <c:manualLayout>
          <c:xMode val="edge"/>
          <c:yMode val="edge"/>
          <c:x val="0.306743595569349"/>
          <c:y val="0.0201869968340908"/>
        </c:manualLayout>
      </c:layout>
      <c:overlay val="0"/>
      <c:spPr>
        <a:noFill/>
        <a:ln>
          <a:noFill/>
        </a:ln>
        <a:effectLst/>
      </c:spPr>
    </c:title>
    <c:autoTitleDeleted val="0"/>
    <c:plotArea>
      <c:layout>
        <c:manualLayout>
          <c:layoutTarget val="inner"/>
          <c:xMode val="edge"/>
          <c:yMode val="edge"/>
          <c:x val="0.101905971876439"/>
          <c:y val="0.0357142857142857"/>
          <c:w val="0.860194174757282"/>
          <c:h val="0.760192230676812"/>
        </c:manualLayout>
      </c:layout>
      <c:barChart>
        <c:barDir val="col"/>
        <c:grouping val="stacked"/>
        <c:varyColors val="0"/>
        <c:ser>
          <c:idx val="0"/>
          <c:order val="0"/>
          <c:tx>
            <c:strRef>
              <c:f>Sheet1!$B$1</c:f>
              <c:strCache>
                <c:ptCount val="1"/>
                <c:pt idx="0">
                  <c:v>一手住宅</c:v>
                </c:pt>
              </c:strCache>
            </c:strRef>
          </c:tx>
          <c:spPr>
            <a:solidFill>
              <a:srgbClr val="5B9BD5"/>
            </a:solidFill>
            <a:ln>
              <a:noFill/>
            </a:ln>
            <a:effectLst/>
          </c:spPr>
          <c:invertIfNegative val="0"/>
          <c:dPt>
            <c:idx val="3"/>
            <c:invertIfNegative val="0"/>
            <c:bubble3D val="0"/>
            <c:spPr>
              <a:solidFill>
                <a:srgbClr val="5B9BD5"/>
              </a:solidFill>
              <a:ln>
                <a:noFill/>
              </a:ln>
              <a:effectLst/>
            </c:spPr>
          </c:dPt>
          <c:dPt>
            <c:idx val="7"/>
            <c:invertIfNegative val="0"/>
            <c:bubble3D val="0"/>
            <c:spPr>
              <a:solidFill>
                <a:srgbClr val="5B9BD5"/>
              </a:solidFill>
              <a:ln>
                <a:noFill/>
              </a:ln>
              <a:effectLst/>
            </c:spPr>
          </c:dPt>
          <c:dLbls>
            <c:dLbl>
              <c:idx val="0"/>
              <c:layout>
                <c:manualLayout>
                  <c:x val="-0.0059919028340081"/>
                  <c:y val="-0.27029804727646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80161943319838"/>
                  <c:y val="-0.14054470709147"/>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88663967611336"/>
                  <c:y val="-0.226875642343268"/>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94331983805668"/>
                  <c:y val="-0.208376156217883"/>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186536485097636"/>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82995951417004"/>
                  <c:y val="-0.233042137718397"/>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582995951417004"/>
                  <c:y val="-0.32631038026721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61200411539129"/>
                  <c:y val="-0.34091556359043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ysClr val="windowText" lastClr="000000">
                        <a:lumMod val="75000"/>
                        <a:lumOff val="25000"/>
                      </a:sys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numRef>
              <c:f>Sheet1!$A$2:$A$9</c:f>
              <c:numCache>
                <c:formatCode>General</c:formatCode>
                <c:ptCount val="8"/>
                <c:pt idx="0">
                  <c:v>202001</c:v>
                </c:pt>
                <c:pt idx="1">
                  <c:v>202002</c:v>
                </c:pt>
                <c:pt idx="2">
                  <c:v>202003</c:v>
                </c:pt>
                <c:pt idx="3">
                  <c:v>202004</c:v>
                </c:pt>
                <c:pt idx="4">
                  <c:v>202005</c:v>
                </c:pt>
                <c:pt idx="5">
                  <c:v>202006</c:v>
                </c:pt>
                <c:pt idx="6">
                  <c:v>202007</c:v>
                </c:pt>
                <c:pt idx="7">
                  <c:v>202008</c:v>
                </c:pt>
              </c:numCache>
            </c:numRef>
          </c:cat>
          <c:val>
            <c:numRef>
              <c:f>Sheet1!$B$2:$B$9</c:f>
              <c:numCache>
                <c:formatCode>General</c:formatCode>
                <c:ptCount val="8"/>
                <c:pt idx="0">
                  <c:v>2813</c:v>
                </c:pt>
                <c:pt idx="1">
                  <c:v>830</c:v>
                </c:pt>
                <c:pt idx="2">
                  <c:v>3152</c:v>
                </c:pt>
                <c:pt idx="3">
                  <c:v>3446</c:v>
                </c:pt>
                <c:pt idx="4">
                  <c:v>3143</c:v>
                </c:pt>
                <c:pt idx="5">
                  <c:v>3343</c:v>
                </c:pt>
                <c:pt idx="6">
                  <c:v>3478</c:v>
                </c:pt>
                <c:pt idx="7">
                  <c:v>4076</c:v>
                </c:pt>
              </c:numCache>
            </c:numRef>
          </c:val>
        </c:ser>
        <c:dLbls>
          <c:showLegendKey val="0"/>
          <c:showVal val="0"/>
          <c:showCatName val="0"/>
          <c:showSerName val="0"/>
          <c:showPercent val="0"/>
          <c:showBubbleSize val="0"/>
        </c:dLbls>
        <c:gapWidth val="150"/>
        <c:overlap val="100"/>
        <c:axId val="727048374"/>
        <c:axId val="830474048"/>
      </c:barChart>
      <c:catAx>
        <c:axId val="727048374"/>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1000" b="0" i="0" u="none" strike="noStrike" kern="1200" baseline="0">
                <a:solidFill>
                  <a:sysClr val="windowText" lastClr="000000">
                    <a:lumMod val="65000"/>
                    <a:lumOff val="35000"/>
                  </a:sysClr>
                </a:solidFill>
                <a:latin typeface="+mn-lt"/>
                <a:ea typeface="+mn-ea"/>
                <a:cs typeface="+mn-cs"/>
              </a:defRPr>
            </a:pPr>
          </a:p>
        </c:txPr>
        <c:crossAx val="830474048"/>
        <c:crosses val="autoZero"/>
        <c:auto val="1"/>
        <c:lblAlgn val="ctr"/>
        <c:lblOffset val="100"/>
        <c:noMultiLvlLbl val="0"/>
      </c:catAx>
      <c:valAx>
        <c:axId val="83047404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727048374"/>
        <c:crosses val="autoZero"/>
        <c:crossBetween val="between"/>
      </c:valAx>
      <c:spPr>
        <a:noFill/>
        <a:ln>
          <a:noFill/>
        </a:ln>
        <a:effectLst/>
      </c:spPr>
    </c:plotArea>
    <c:plotVisOnly val="1"/>
    <c:dispBlanksAs val="gap"/>
    <c:showDLblsOverMax val="0"/>
  </c:chart>
  <c:spPr>
    <a:solidFill>
      <a:sysClr val="window" lastClr="FFFFFF"/>
    </a:solidFill>
    <a:ln w="9525" cap="flat" cmpd="sng" algn="ctr">
      <a:no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solidFill>
                <a:latin typeface="+mn-lt"/>
                <a:ea typeface="+mn-ea"/>
                <a:cs typeface="+mn-cs"/>
              </a:defRPr>
            </a:pPr>
            <a:r>
              <a:rPr lang="en-US" altLang="zh-CN" sz="1400"/>
              <a:t>8</a:t>
            </a:r>
            <a:r>
              <a:rPr lang="zh-CN" altLang="en-US" sz="1400"/>
              <a:t>月新增备案机构量及同环比变化</a:t>
            </a:r>
            <a:endParaRPr lang="zh-CN" altLang="en-US" sz="1400"/>
          </a:p>
        </c:rich>
      </c:tx>
      <c:layout/>
      <c:overlay val="0"/>
    </c:title>
    <c:autoTitleDeleted val="0"/>
    <c:plotArea>
      <c:layout>
        <c:manualLayout>
          <c:layoutTarget val="inner"/>
          <c:xMode val="edge"/>
          <c:yMode val="edge"/>
          <c:x val="0.0695080091533181"/>
          <c:y val="0.208609271523179"/>
          <c:w val="0.899027459954233"/>
          <c:h val="0.675275938189845"/>
        </c:manualLayout>
      </c:layout>
      <c:barChart>
        <c:barDir val="col"/>
        <c:grouping val="clustered"/>
        <c:varyColors val="0"/>
        <c:ser>
          <c:idx val="1"/>
          <c:order val="0"/>
          <c:tx>
            <c:strRef>
              <c:f>[数据样表.xlsx]汇总分析!$D$166</c:f>
              <c:strCache>
                <c:ptCount val="1"/>
                <c:pt idx="0">
                  <c:v>备案机构新增量</c:v>
                </c:pt>
              </c:strCache>
            </c:strRef>
          </c:tx>
          <c:invertIfNegative val="0"/>
          <c:dPt>
            <c:idx val="2"/>
            <c:invertIfNegative val="0"/>
            <c:bubble3D val="0"/>
            <c:spPr>
              <a:solidFill>
                <a:srgbClr val="00B050"/>
              </a:solidFill>
            </c:spPr>
          </c:dPt>
          <c:dLbls>
            <c:dLbl>
              <c:idx val="0"/>
              <c:layout>
                <c:manualLayout>
                  <c:x val="-0.00135658914728682"/>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004334930413"/>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1317829457373"/>
                  <c:y val="0.005143181260730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400" b="1"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[数据样表.xlsx]汇总分析!$E$165:$G$165</c:f>
              <c:numCache>
                <c:formatCode>General</c:formatCode>
                <c:ptCount val="3"/>
                <c:pt idx="0">
                  <c:v>201908</c:v>
                </c:pt>
                <c:pt idx="1">
                  <c:v>202007</c:v>
                </c:pt>
                <c:pt idx="2">
                  <c:v>202008</c:v>
                </c:pt>
              </c:numCache>
            </c:numRef>
          </c:cat>
          <c:val>
            <c:numRef>
              <c:f>[数据样表.xlsx]汇总分析!$E$166:$G$166</c:f>
              <c:numCache>
                <c:formatCode>General</c:formatCode>
                <c:ptCount val="3"/>
                <c:pt idx="0">
                  <c:v>43</c:v>
                </c:pt>
                <c:pt idx="1">
                  <c:v>106</c:v>
                </c:pt>
                <c:pt idx="2">
                  <c:v>62</c:v>
                </c:pt>
              </c:numCache>
            </c:numRef>
          </c:val>
        </c:ser>
        <c:dLbls>
          <c:showLegendKey val="0"/>
          <c:showVal val="1"/>
          <c:showCatName val="0"/>
          <c:showSerName val="0"/>
          <c:showPercent val="0"/>
          <c:showBubbleSize val="0"/>
        </c:dLbls>
        <c:gapWidth val="150"/>
        <c:axId val="144373632"/>
        <c:axId val="144375168"/>
      </c:barChart>
      <c:catAx>
        <c:axId val="144373632"/>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4375168"/>
        <c:crosses val="autoZero"/>
        <c:auto val="1"/>
        <c:lblAlgn val="ctr"/>
        <c:lblOffset val="100"/>
        <c:noMultiLvlLbl val="0"/>
      </c:catAx>
      <c:valAx>
        <c:axId val="144375168"/>
        <c:scaling>
          <c:orientation val="minMax"/>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4373632"/>
        <c:crosses val="autoZero"/>
        <c:crossBetween val="between"/>
      </c:valAx>
      <c:spPr>
        <a:solidFill>
          <a:schemeClr val="bg1"/>
        </a:solidFill>
        <a:ln>
          <a:noFill/>
        </a:ln>
        <a:effectLst/>
      </c:spPr>
    </c:plotArea>
    <c:plotVisOnly val="1"/>
    <c:dispBlanksAs val="gap"/>
    <c:showDLblsOverMax val="0"/>
  </c:chart>
  <c:txPr>
    <a:bodyPr/>
    <a:lstStyle/>
    <a:p>
      <a:pPr>
        <a:defRPr lang="zh-CN"/>
      </a:pP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baseline="0">
                <a:solidFill>
                  <a:schemeClr val="tx1"/>
                </a:solidFill>
                <a:latin typeface="+mn-lt"/>
                <a:ea typeface="+mn-ea"/>
                <a:cs typeface="+mn-cs"/>
              </a:defRPr>
            </a:pPr>
            <a:r>
              <a:rPr lang="en-US" altLang="zh-CN" sz="1600"/>
              <a:t>8</a:t>
            </a:r>
            <a:r>
              <a:rPr altLang="en-US" sz="1600"/>
              <a:t>月</a:t>
            </a:r>
            <a:r>
              <a:rPr sz="1600"/>
              <a:t>新增个人会员人数变化</a:t>
            </a:r>
            <a:endParaRPr sz="1600"/>
          </a:p>
        </c:rich>
      </c:tx>
      <c:layout/>
      <c:overlay val="0"/>
    </c:title>
    <c:autoTitleDeleted val="0"/>
    <c:plotArea>
      <c:layout>
        <c:manualLayout>
          <c:layoutTarget val="inner"/>
          <c:xMode val="edge"/>
          <c:yMode val="edge"/>
          <c:x val="0.0895781997390926"/>
          <c:y val="0.184027777777778"/>
          <c:w val="0.806203797651834"/>
          <c:h val="0.607638888888889"/>
        </c:manualLayout>
      </c:layout>
      <c:barChart>
        <c:barDir val="col"/>
        <c:grouping val="clustered"/>
        <c:varyColors val="0"/>
        <c:ser>
          <c:idx val="1"/>
          <c:order val="0"/>
          <c:tx>
            <c:strRef>
              <c:f>[数据样表.xlsx]汇总分析!$D$263</c:f>
              <c:strCache>
                <c:ptCount val="1"/>
                <c:pt idx="0">
                  <c:v>星级人员数量</c:v>
                </c:pt>
              </c:strCache>
            </c:strRef>
          </c:tx>
          <c:invertIfNegative val="0"/>
          <c:dPt>
            <c:idx val="2"/>
            <c:invertIfNegative val="0"/>
            <c:bubble3D val="0"/>
            <c:spPr>
              <a:solidFill>
                <a:srgbClr val="00B050"/>
              </a:solidFill>
            </c:spPr>
          </c:dPt>
          <c:dLbls>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[数据样表.xlsx]汇总分析!$E$262:$G$262</c:f>
              <c:numCache>
                <c:formatCode>General</c:formatCode>
                <c:ptCount val="3"/>
                <c:pt idx="0">
                  <c:v>201908</c:v>
                </c:pt>
                <c:pt idx="1">
                  <c:v>202007</c:v>
                </c:pt>
                <c:pt idx="2">
                  <c:v>202008</c:v>
                </c:pt>
              </c:numCache>
            </c:numRef>
          </c:cat>
          <c:val>
            <c:numRef>
              <c:f>[数据样表.xlsx]汇总分析!$E$263:$G$263</c:f>
              <c:numCache>
                <c:formatCode>General</c:formatCode>
                <c:ptCount val="3"/>
                <c:pt idx="0">
                  <c:v>4926</c:v>
                </c:pt>
                <c:pt idx="1">
                  <c:v>6032</c:v>
                </c:pt>
                <c:pt idx="2">
                  <c:v>4436</c:v>
                </c:pt>
              </c:numCache>
            </c:numRef>
          </c:val>
        </c:ser>
        <c:dLbls>
          <c:showLegendKey val="0"/>
          <c:showVal val="1"/>
          <c:showCatName val="0"/>
          <c:showSerName val="0"/>
          <c:showPercent val="0"/>
          <c:showBubbleSize val="0"/>
        </c:dLbls>
        <c:gapWidth val="150"/>
        <c:axId val="143892480"/>
        <c:axId val="143894016"/>
      </c:barChart>
      <c:lineChart>
        <c:grouping val="stacked"/>
        <c:varyColors val="0"/>
        <c:ser>
          <c:idx val="0"/>
          <c:order val="1"/>
          <c:tx>
            <c:strRef>
              <c:f>[数据样表.xlsx]汇总分析!$D$264</c:f>
              <c:strCache>
                <c:ptCount val="1"/>
                <c:pt idx="0">
                  <c:v>新申请占比</c:v>
                </c:pt>
              </c:strCache>
            </c:strRef>
          </c:tx>
          <c:marker>
            <c:symbol val="none"/>
          </c:marker>
          <c:dLbls>
            <c:dLbl>
              <c:idx val="1"/>
              <c:layout>
                <c:manualLayout>
                  <c:x val="-0.0500072474271634"/>
                  <c:y val="0.079861111111111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60907377880852"/>
                  <c:y val="-0.048611111111111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[数据样表.xlsx]汇总分析!$E$262:$G$262</c:f>
              <c:numCache>
                <c:formatCode>General</c:formatCode>
                <c:ptCount val="3"/>
                <c:pt idx="0">
                  <c:v>201908</c:v>
                </c:pt>
                <c:pt idx="1">
                  <c:v>202007</c:v>
                </c:pt>
                <c:pt idx="2">
                  <c:v>202008</c:v>
                </c:pt>
              </c:numCache>
            </c:numRef>
          </c:cat>
          <c:val>
            <c:numRef>
              <c:f>[数据样表.xlsx]汇总分析!$E$264:$G$264</c:f>
              <c:numCache>
                <c:formatCode>0.0%</c:formatCode>
                <c:ptCount val="3"/>
                <c:pt idx="0">
                  <c:v>0.50933820544052</c:v>
                </c:pt>
                <c:pt idx="1">
                  <c:v>0.539290450928382</c:v>
                </c:pt>
                <c:pt idx="2">
                  <c:v>0.526149684400361</c:v>
                </c:pt>
              </c:numCache>
            </c:numRef>
          </c:val>
          <c:smooth val="0"/>
        </c:ser>
        <c:dLbls>
          <c:showLegendKey val="0"/>
          <c:showVal val="1"/>
          <c:showCatName val="0"/>
          <c:showSerName val="0"/>
          <c:showPercent val="0"/>
          <c:showBubbleSize val="0"/>
        </c:dLbls>
        <c:marker val="0"/>
        <c:smooth val="0"/>
        <c:axId val="508749744"/>
        <c:axId val="201150596"/>
      </c:lineChart>
      <c:catAx>
        <c:axId val="14389248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3894016"/>
        <c:crosses val="autoZero"/>
        <c:auto val="1"/>
        <c:lblAlgn val="ctr"/>
        <c:lblOffset val="100"/>
        <c:noMultiLvlLbl val="0"/>
      </c:catAx>
      <c:valAx>
        <c:axId val="143894016"/>
        <c:scaling>
          <c:orientation val="minMax"/>
          <c:min val="3000"/>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3892480"/>
        <c:crosses val="autoZero"/>
        <c:crossBetween val="between"/>
        <c:majorUnit val="500"/>
      </c:valAx>
      <c:catAx>
        <c:axId val="508749744"/>
        <c:scaling>
          <c:orientation val="minMax"/>
        </c:scaling>
        <c:delete val="1"/>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1150596"/>
        <c:crosses val="autoZero"/>
        <c:auto val="1"/>
        <c:lblAlgn val="ctr"/>
        <c:lblOffset val="100"/>
        <c:noMultiLvlLbl val="0"/>
      </c:catAx>
      <c:valAx>
        <c:axId val="201150596"/>
        <c:scaling>
          <c:orientation val="minMax"/>
        </c:scaling>
        <c:delete val="0"/>
        <c:axPos val="r"/>
        <c:numFmt formatCode="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08749744"/>
        <c:crosses val="max"/>
        <c:crossBetween val="between"/>
      </c:valAx>
    </c:plotArea>
    <c:legend>
      <c:legendPos val="b"/>
      <c:layout>
        <c:manualLayout>
          <c:xMode val="edge"/>
          <c:yMode val="edge"/>
          <c:x val="0.258660675460212"/>
          <c:y val="0.90023148148148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'[数据（汇总）.xls]Sheet1'!$D$68:$D$70</c:f>
              <c:strCache>
                <c:ptCount val="3"/>
                <c:pt idx="0">
                  <c:v>已协商</c:v>
                </c:pt>
                <c:pt idx="1">
                  <c:v>循司法途径</c:v>
                </c:pt>
                <c:pt idx="2">
                  <c:v>处理中</c:v>
                </c:pt>
              </c:strCache>
            </c:strRef>
          </c:cat>
          <c:val>
            <c:numRef>
              <c:f>'[数据（汇总）.xls]Sheet1'!$E$68:$E$70</c:f>
              <c:numCache>
                <c:formatCode>General</c:formatCode>
                <c:ptCount val="3"/>
                <c:pt idx="0">
                  <c:v>3</c:v>
                </c:pt>
                <c:pt idx="1">
                  <c:v>1</c:v>
                </c:pt>
                <c:pt idx="2">
                  <c:v>12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'[数据（汇总）.xls]Sheet1'!$J$84:$J$85</c:f>
              <c:strCache>
                <c:ptCount val="2"/>
                <c:pt idx="0">
                  <c:v>交易信息纠纷</c:v>
                </c:pt>
                <c:pt idx="1">
                  <c:v>资金纠纷</c:v>
                </c:pt>
              </c:strCache>
            </c:strRef>
          </c:cat>
          <c:val>
            <c:numRef>
              <c:f>'[数据（汇总）.xls]Sheet1'!$K$84:$K$85</c:f>
              <c:numCache>
                <c:formatCode>General</c:formatCode>
                <c:ptCount val="2"/>
                <c:pt idx="0">
                  <c:v>11</c:v>
                </c:pt>
                <c:pt idx="1">
                  <c:v>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13857016769638"/>
          <c:y val="0.3978444236176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cdr:y>
    </cdr:from>
    <cdr:to>
      <cdr:x>0.15833</cdr:x>
      <cdr:y>0.1007</cdr:y>
    </cdr:to>
    <cdr:sp>
      <cdr:nvSpPr>
        <cdr:cNvPr id="2" name="矩形 1"/>
        <cdr:cNvSpPr/>
      </cdr:nvSpPr>
      <cdr:spPr xmlns:a="http://schemas.openxmlformats.org/drawingml/2006/main">
        <a:xfrm xmlns:a="http://schemas.openxmlformats.org/drawingml/2006/main">
          <a:off x="0" y="0"/>
          <a:ext cx="723885" cy="276240"/>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a:r>
            <a:rPr lang="zh-CN" altLang="en-US" sz="900"/>
            <a:t>单位：家</a:t>
          </a:r>
          <a:endParaRPr lang="zh-CN" altLang="en-US" sz="900"/>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0.15767</cdr:x>
      <cdr:y>0.10069</cdr:y>
    </cdr:to>
    <cdr:sp>
      <cdr:nvSpPr>
        <cdr:cNvPr id="2" name="矩形 1"/>
        <cdr:cNvSpPr/>
      </cdr:nvSpPr>
      <cdr:spPr xmlns:a="http://schemas.openxmlformats.org/drawingml/2006/main">
        <a:xfrm xmlns:a="http://schemas.openxmlformats.org/drawingml/2006/main">
          <a:off x="0" y="0"/>
          <a:ext cx="690731" cy="276213"/>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a:r>
            <a:rPr lang="zh-CN" altLang="en-US" sz="900"/>
            <a:t>单位：人</a:t>
          </a:r>
          <a:endParaRPr lang="zh-CN" altLang="en-US" sz="900"/>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1270</Words>
  <Characters>1286</Characters>
  <Lines>0</Lines>
  <Paragraphs>0</Paragraphs>
  <TotalTime>1</TotalTime>
  <ScaleCrop>false</ScaleCrop>
  <LinksUpToDate>false</LinksUpToDate>
  <CharactersWithSpaces>1288</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深房中协—华洪</cp:lastModifiedBy>
  <dcterms:modified xsi:type="dcterms:W3CDTF">2020-09-03T05:42:58Z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