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
          <w:bCs/>
          <w:color w:val="auto"/>
          <w:kern w:val="2"/>
          <w:sz w:val="44"/>
          <w:szCs w:val="44"/>
          <w:lang w:val="en-US" w:eastAsia="zh-CN" w:bidi="ar-SA"/>
        </w:rPr>
      </w:pPr>
      <w:r>
        <w:rPr>
          <w:rFonts w:hint="eastAsia" w:ascii="黑体" w:hAnsi="黑体" w:eastAsia="黑体" w:cs="黑体"/>
          <w:b/>
          <w:bCs/>
          <w:color w:val="auto"/>
          <w:kern w:val="2"/>
          <w:sz w:val="44"/>
          <w:szCs w:val="44"/>
          <w:lang w:val="en-US" w:eastAsia="zh-CN" w:bidi="ar-SA"/>
        </w:rPr>
        <w:t>贩卖信息不对称，在当下不再值钱！</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center"/>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——低佣竞争模式的剖析</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center"/>
        <w:textAlignment w:val="auto"/>
        <w:rPr>
          <w:rFonts w:hint="eastAsia" w:ascii="仿宋" w:hAnsi="仿宋" w:eastAsia="仿宋" w:cs="仿宋"/>
          <w:color w:val="auto"/>
          <w:kern w:val="2"/>
          <w:sz w:val="32"/>
          <w:szCs w:val="32"/>
          <w:lang w:val="en-US" w:eastAsia="zh-CN" w:bidi="ar-SA"/>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 w:hAnsi="仿宋" w:eastAsia="仿宋" w:cs="仿宋"/>
          <w:b/>
          <w:bCs/>
          <w:color w:val="auto"/>
          <w:sz w:val="32"/>
          <w:szCs w:val="32"/>
          <w:lang w:val="en-US" w:eastAsia="zh-CN"/>
        </w:rPr>
      </w:pPr>
      <w:r>
        <w:rPr>
          <w:rFonts w:hint="eastAsia" w:ascii="仿宋" w:hAnsi="仿宋" w:eastAsia="仿宋" w:cs="仿宋"/>
          <w:color w:val="auto"/>
          <w:kern w:val="2"/>
          <w:sz w:val="32"/>
          <w:szCs w:val="32"/>
          <w:lang w:val="en-US" w:eastAsia="zh-CN" w:bidi="ar-SA"/>
        </w:rPr>
        <w:t>早在2014年，《国家发展改革委、住房城乡建设部关于放开房地产咨询收费和下放房地产经纪收费管理的通知》（</w:t>
      </w:r>
      <w:r>
        <w:rPr>
          <w:rFonts w:hint="default" w:ascii="仿宋" w:hAnsi="仿宋" w:eastAsia="仿宋" w:cs="仿宋"/>
          <w:color w:val="auto"/>
          <w:kern w:val="2"/>
          <w:sz w:val="32"/>
          <w:szCs w:val="32"/>
          <w:lang w:val="en-US" w:eastAsia="zh-CN" w:bidi="ar-SA"/>
        </w:rPr>
        <w:t>发改价格</w:t>
      </w:r>
      <w:r>
        <w:rPr>
          <w:rFonts w:hint="eastAsia" w:ascii="仿宋" w:hAnsi="仿宋" w:eastAsia="仿宋" w:cs="仿宋"/>
          <w:color w:val="auto"/>
          <w:kern w:val="2"/>
          <w:sz w:val="32"/>
          <w:szCs w:val="32"/>
          <w:lang w:val="en-US" w:eastAsia="zh-CN" w:bidi="ar-SA"/>
        </w:rPr>
        <w:t>[2014]1289号）就明确提出</w:t>
      </w:r>
      <w:r>
        <w:rPr>
          <w:rFonts w:hint="eastAsia" w:ascii="仿宋" w:hAnsi="仿宋" w:eastAsia="仿宋" w:cs="仿宋"/>
          <w:b/>
          <w:bCs/>
          <w:color w:val="auto"/>
          <w:sz w:val="32"/>
          <w:szCs w:val="32"/>
          <w:em w:val="dot"/>
          <w:lang w:val="en-US" w:eastAsia="zh-CN"/>
        </w:rPr>
        <w:t>“</w:t>
      </w:r>
      <w:bookmarkStart w:id="0" w:name="_GoBack"/>
      <w:bookmarkEnd w:id="0"/>
      <w:r>
        <w:rPr>
          <w:rFonts w:hint="eastAsia" w:ascii="仿宋" w:hAnsi="仿宋" w:eastAsia="仿宋" w:cs="仿宋"/>
          <w:b/>
          <w:bCs/>
          <w:color w:val="auto"/>
          <w:sz w:val="32"/>
          <w:szCs w:val="32"/>
          <w:em w:val="dot"/>
          <w:lang w:val="en-US" w:eastAsia="zh-CN"/>
        </w:rPr>
        <w:t>决定放开目前实行政府指导价管理的房地产咨询服务收费标准，下放房地产经纪服务收费管理权限。”</w:t>
      </w:r>
      <w:r>
        <w:rPr>
          <w:rFonts w:hint="eastAsia" w:ascii="仿宋" w:hAnsi="仿宋" w:eastAsia="仿宋" w:cs="仿宋"/>
          <w:color w:val="auto"/>
          <w:sz w:val="32"/>
          <w:szCs w:val="32"/>
          <w:lang w:val="en-US" w:eastAsia="zh-CN"/>
        </w:rPr>
        <w:t>自此，3%的行业收佣上限成为了历史。但随着近年来我市房地产调控政策日趋严厉，消费者消费升级诉求日益高涨的背景下，全行业的恶性“低佣”竞争为何却屡屡招受消费者与全行业的诟病？那么咱们还得掰扯掰扯，近年来行业的“低佣竞争”是如何演变过来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一、行业生存基础——信息交互渠道的变化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对于传统房地产中介行业而言，居间撮合服务的本质就是依靠信息交互不对称特征，居间匹配买卖双方诉求信息，以此赚取撮合交易的佣金，无论消费者选择任一中介，信息交互都是由中介方单一向消费者输出，</w:t>
      </w:r>
      <w:r>
        <w:rPr>
          <w:rFonts w:hint="eastAsia" w:ascii="仿宋" w:hAnsi="仿宋" w:eastAsia="仿宋" w:cs="仿宋"/>
          <w:b/>
          <w:bCs/>
          <w:color w:val="auto"/>
          <w:sz w:val="32"/>
          <w:szCs w:val="32"/>
          <w:em w:val="dot"/>
          <w:lang w:val="en-US" w:eastAsia="zh-CN"/>
        </w:rPr>
        <w:t>即中介方是交易信息的唯一渠道提供者</w:t>
      </w:r>
      <w:r>
        <w:rPr>
          <w:rFonts w:hint="eastAsia" w:ascii="仿宋" w:hAnsi="仿宋" w:eastAsia="仿宋" w:cs="仿宋"/>
          <w:color w:val="auto"/>
          <w:sz w:val="32"/>
          <w:szCs w:val="32"/>
          <w:lang w:val="en-US" w:eastAsia="zh-CN"/>
        </w:rPr>
        <w:t>（小部分买卖双方自主交易除外）。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但随着互联网信息技术的广泛应用，传统信息交互的渠道“垄断”逐步被打破，跨地域，全天候的信息交互在互联网的加持下不再是中介方的独家“资源”，买卖双方依托互联网，可以非常轻松的从不同渠道掌握到房源与房价信息，</w:t>
      </w:r>
      <w:r>
        <w:rPr>
          <w:rFonts w:hint="eastAsia" w:ascii="仿宋" w:hAnsi="仿宋" w:eastAsia="仿宋" w:cs="仿宋"/>
          <w:b/>
          <w:bCs/>
          <w:color w:val="auto"/>
          <w:sz w:val="32"/>
          <w:szCs w:val="32"/>
          <w:em w:val="dot"/>
          <w:lang w:val="en-US" w:eastAsia="zh-CN"/>
        </w:rPr>
        <w:t>传统单一渠道或单向性信息交互/输出的模式，朝着多渠道，双向性信息交互模式转变</w:t>
      </w:r>
      <w:r>
        <w:rPr>
          <w:rFonts w:hint="eastAsia" w:ascii="仿宋" w:hAnsi="仿宋" w:eastAsia="仿宋" w:cs="仿宋"/>
          <w:color w:val="auto"/>
          <w:sz w:val="32"/>
          <w:szCs w:val="32"/>
          <w:lang w:val="en-US" w:eastAsia="zh-CN"/>
        </w:rPr>
        <w:t>，信息交互呈现出多向性特征，这必然导致消费者对线下中介方依赖性的降低。</w:t>
      </w:r>
    </w:p>
    <w:p>
      <w:pPr>
        <w:rPr>
          <w:rFonts w:hint="eastAsia" w:ascii="仿宋" w:hAnsi="仿宋" w:eastAsia="仿宋" w:cs="仿宋"/>
          <w:color w:val="auto"/>
          <w:sz w:val="28"/>
          <w:szCs w:val="28"/>
          <w:lang w:val="en-US" w:eastAsia="zh-CN"/>
        </w:rPr>
      </w:pPr>
      <w:r>
        <w:drawing>
          <wp:anchor distT="0" distB="0" distL="114300" distR="114300" simplePos="0" relativeHeight="251659264" behindDoc="1" locked="0" layoutInCell="1" allowOverlap="1">
            <wp:simplePos x="0" y="0"/>
            <wp:positionH relativeFrom="column">
              <wp:posOffset>3082290</wp:posOffset>
            </wp:positionH>
            <wp:positionV relativeFrom="paragraph">
              <wp:posOffset>50165</wp:posOffset>
            </wp:positionV>
            <wp:extent cx="2659380" cy="1913890"/>
            <wp:effectExtent l="0" t="0" r="7620" b="1016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2659380" cy="1913890"/>
                    </a:xfrm>
                    <a:prstGeom prst="rect">
                      <a:avLst/>
                    </a:prstGeom>
                    <a:noFill/>
                    <a:ln>
                      <a:noFill/>
                    </a:ln>
                  </pic:spPr>
                </pic:pic>
              </a:graphicData>
            </a:graphic>
          </wp:anchor>
        </w:drawing>
      </w:r>
      <w:r>
        <w:drawing>
          <wp:anchor distT="0" distB="0" distL="114300" distR="114300" simplePos="0" relativeHeight="251660288" behindDoc="1" locked="0" layoutInCell="1" allowOverlap="1">
            <wp:simplePos x="0" y="0"/>
            <wp:positionH relativeFrom="column">
              <wp:posOffset>-102235</wp:posOffset>
            </wp:positionH>
            <wp:positionV relativeFrom="paragraph">
              <wp:posOffset>97155</wp:posOffset>
            </wp:positionV>
            <wp:extent cx="3172460" cy="1858645"/>
            <wp:effectExtent l="0" t="0" r="8890" b="825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3172460" cy="1858645"/>
                    </a:xfrm>
                    <a:prstGeom prst="rect">
                      <a:avLst/>
                    </a:prstGeom>
                    <a:noFill/>
                    <a:ln>
                      <a:noFill/>
                    </a:ln>
                  </pic:spPr>
                </pic:pic>
              </a:graphicData>
            </a:graphic>
          </wp:anchor>
        </w:drawing>
      </w:r>
    </w:p>
    <w:p>
      <w:pPr>
        <w:rPr>
          <w:rFonts w:hint="eastAsia" w:ascii="仿宋" w:hAnsi="仿宋" w:eastAsia="仿宋" w:cs="仿宋"/>
          <w:color w:val="auto"/>
          <w:sz w:val="28"/>
          <w:szCs w:val="28"/>
          <w:lang w:val="en-US" w:eastAsia="zh-CN"/>
        </w:rPr>
      </w:pPr>
    </w:p>
    <w:p>
      <w:pPr>
        <w:rPr>
          <w:rFonts w:hint="eastAsia" w:ascii="仿宋" w:hAnsi="仿宋" w:eastAsia="仿宋" w:cs="仿宋"/>
          <w:color w:val="auto"/>
          <w:sz w:val="28"/>
          <w:szCs w:val="28"/>
          <w:lang w:val="en-US" w:eastAsia="zh-CN"/>
        </w:rPr>
      </w:pPr>
    </w:p>
    <w:p>
      <w:pPr>
        <w:rPr>
          <w:rFonts w:hint="eastAsia" w:ascii="仿宋" w:hAnsi="仿宋" w:eastAsia="仿宋" w:cs="仿宋"/>
          <w:color w:val="auto"/>
          <w:sz w:val="28"/>
          <w:szCs w:val="28"/>
          <w:lang w:val="en-US" w:eastAsia="zh-CN"/>
        </w:rPr>
      </w:pPr>
    </w:p>
    <w:p>
      <w:pPr>
        <w:rPr>
          <w:rFonts w:hint="eastAsia" w:ascii="仿宋" w:hAnsi="仿宋" w:eastAsia="仿宋" w:cs="仿宋"/>
          <w:color w:val="auto"/>
          <w:sz w:val="28"/>
          <w:szCs w:val="28"/>
          <w:lang w:val="en-US" w:eastAsia="zh-CN"/>
        </w:rPr>
      </w:pPr>
    </w:p>
    <w:p>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（传统信息交互渠道（左）与当下信息交互渠道（右））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二、信息不再值钱——低佣竞争的本质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bCs/>
          <w:color w:val="auto"/>
          <w:sz w:val="32"/>
          <w:szCs w:val="32"/>
          <w:em w:val="dot"/>
          <w:lang w:val="en-US" w:eastAsia="zh-CN"/>
        </w:rPr>
      </w:pPr>
      <w:r>
        <w:rPr>
          <w:rFonts w:hint="eastAsia" w:ascii="仿宋" w:hAnsi="仿宋" w:eastAsia="仿宋" w:cs="仿宋"/>
          <w:color w:val="auto"/>
          <w:sz w:val="32"/>
          <w:szCs w:val="32"/>
          <w:lang w:val="en-US" w:eastAsia="zh-CN"/>
        </w:rPr>
        <w:t>低佣竞争本质上就是行业提供的专业服务没有达到消费者预期，原本“约定俗成”的行业收费标准得不到社会认可的一种“自我救赎”方式。事实上，一方面，虽然近年来业内也不断涌现出平台型，高端化的机构，但并未从总体上改变行业重“人海”、“铺海”的传统经营模式，各家中介机构间的服务大同小异；而另一方面，随着信息“开源”趋势的推进，各中介机构对信息资源控制力的“日薄西山”。</w:t>
      </w:r>
      <w:r>
        <w:rPr>
          <w:rFonts w:hint="eastAsia" w:ascii="仿宋" w:hAnsi="仿宋" w:eastAsia="仿宋" w:cs="仿宋"/>
          <w:b/>
          <w:bCs/>
          <w:color w:val="auto"/>
          <w:sz w:val="32"/>
          <w:szCs w:val="32"/>
          <w:em w:val="dot"/>
          <w:lang w:val="en-US" w:eastAsia="zh-CN"/>
        </w:rPr>
        <w:t>说白了，就是在没有核心专业技术支撑下的现行居间服务模式，依靠贩卖信息不对称，在当下不值这个钱！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总体而言，现阶段所反映出来的“低佣竞争”，按照经典矛盾理论归纳，就是现阶段行业并未彻底解决</w:t>
      </w:r>
      <w:r>
        <w:rPr>
          <w:rFonts w:hint="eastAsia" w:ascii="仿宋" w:hAnsi="仿宋" w:eastAsia="仿宋" w:cs="仿宋"/>
          <w:b/>
          <w:bCs/>
          <w:color w:val="auto"/>
          <w:sz w:val="32"/>
          <w:szCs w:val="32"/>
          <w:em w:val="dot"/>
          <w:lang w:val="en-US" w:eastAsia="zh-CN"/>
        </w:rPr>
        <w:t>消费者日益增长的专业服务需求与落后的行业服务供给之间的矛盾</w:t>
      </w:r>
      <w:r>
        <w:rPr>
          <w:rFonts w:hint="eastAsia" w:ascii="仿宋" w:hAnsi="仿宋" w:eastAsia="仿宋" w:cs="仿宋"/>
          <w:color w:val="auto"/>
          <w:sz w:val="32"/>
          <w:szCs w:val="32"/>
          <w:lang w:val="en-US" w:eastAsia="zh-CN"/>
        </w:rPr>
        <w:t>，才使得低佣竞争成为了当下行业不得不“卑躬屈膝”进行自救的临时应对举措。</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b/>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B3F91"/>
    <w:rsid w:val="0C677848"/>
    <w:rsid w:val="24784CE2"/>
    <w:rsid w:val="28FA0224"/>
    <w:rsid w:val="296D4A8B"/>
    <w:rsid w:val="2AB55F62"/>
    <w:rsid w:val="2F4B3D19"/>
    <w:rsid w:val="2FE76074"/>
    <w:rsid w:val="36B51951"/>
    <w:rsid w:val="3D7863A9"/>
    <w:rsid w:val="3FBB5033"/>
    <w:rsid w:val="495C4DCB"/>
    <w:rsid w:val="52B55427"/>
    <w:rsid w:val="554922DF"/>
    <w:rsid w:val="5A0B4D77"/>
    <w:rsid w:val="5E26686F"/>
    <w:rsid w:val="61F4182A"/>
    <w:rsid w:val="67C76AFD"/>
    <w:rsid w:val="782E79E2"/>
    <w:rsid w:val="788F6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2020-08-28T07:22:00Z</dcterms:created>
  <dc:creator>huah</dc:creator>
  <cp:lastModifiedBy>深房中协—华洪</cp:lastModifiedBy>
  <dcterms:modified xsi:type="dcterms:W3CDTF">2020-09-01T03:09:47Z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