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调控预期初显：由一边倒的“全线喊涨”到房屋真正价值回归</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eastAsia="zh-CN"/>
        </w:rPr>
      </w:pPr>
      <w:r>
        <w:rPr>
          <w:rFonts w:hint="eastAsia" w:ascii="楷体" w:hAnsi="楷体" w:eastAsia="楷体" w:cs="黑体"/>
          <w:b/>
          <w:bCs/>
          <w:sz w:val="32"/>
          <w:szCs w:val="32"/>
        </w:rPr>
        <w:t>——</w:t>
      </w:r>
      <w:r>
        <w:rPr>
          <w:rFonts w:hint="eastAsia" w:ascii="楷体" w:hAnsi="楷体" w:eastAsia="楷体" w:cs="黑体"/>
          <w:b/>
          <w:bCs/>
          <w:sz w:val="32"/>
          <w:szCs w:val="32"/>
          <w:lang w:val="en-US" w:eastAsia="zh-CN"/>
        </w:rPr>
        <w:t>9</w:t>
      </w:r>
      <w:r>
        <w:rPr>
          <w:rFonts w:hint="eastAsia" w:ascii="楷体" w:hAnsi="楷体" w:eastAsia="楷体" w:cs="黑体"/>
          <w:b/>
          <w:bCs/>
          <w:sz w:val="32"/>
          <w:szCs w:val="32"/>
        </w:rPr>
        <w:t>月深圳热点楼盘房源报价数据观察表</w:t>
      </w:r>
    </w:p>
    <w:p>
      <w:pPr>
        <w:spacing w:line="560" w:lineRule="exact"/>
        <w:jc w:val="center"/>
        <w:rPr>
          <w:rFonts w:hint="eastAsia" w:ascii="黑体" w:hAnsi="黑体" w:eastAsia="黑体" w:cs="黑体"/>
          <w:b w:val="0"/>
          <w:bCs w:val="0"/>
          <w:sz w:val="32"/>
          <w:szCs w:val="32"/>
          <w:lang w:eastAsia="zh-CN"/>
        </w:rPr>
      </w:pPr>
      <w:r>
        <w:rPr>
          <w:rFonts w:hint="eastAsia" w:ascii="黑体" w:hAnsi="黑体" w:eastAsia="黑体" w:cs="黑体"/>
          <w:b/>
          <w:bCs/>
          <w:sz w:val="32"/>
          <w:szCs w:val="32"/>
          <w:lang w:eastAsia="zh-CN"/>
        </w:rPr>
        <w:t>（采样时间</w:t>
      </w:r>
      <w:r>
        <w:rPr>
          <w:rFonts w:hint="eastAsia" w:ascii="黑体" w:hAnsi="黑体" w:eastAsia="黑体" w:cs="黑体"/>
          <w:b/>
          <w:bCs/>
          <w:sz w:val="32"/>
          <w:szCs w:val="32"/>
          <w:lang w:val="en-US" w:eastAsia="zh-CN"/>
        </w:rPr>
        <w:t>9.14</w:t>
      </w:r>
      <w:r>
        <w:rPr>
          <w:rFonts w:hint="eastAsia" w:ascii="黑体" w:hAnsi="黑体" w:eastAsia="黑体" w:cs="黑体"/>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根据深房中协对新政前观察到的热点楼盘房源报价数据持续监测显示：</w:t>
      </w:r>
      <w:r>
        <w:rPr>
          <w:rFonts w:hint="eastAsia" w:ascii="仿宋" w:hAnsi="仿宋" w:eastAsia="仿宋" w:cs="仿宋"/>
          <w:b/>
          <w:bCs/>
          <w:sz w:val="32"/>
          <w:szCs w:val="32"/>
          <w:em w:val="dot"/>
          <w:lang w:val="en-US" w:eastAsia="zh-CN"/>
        </w:rPr>
        <w:t>由新政前“一边倒”式的“全线喊涨”，到新政发布初期的短期内无规律涨跌（业主试探性调价），再到现阶段房源报价开始遵循“价值规律”，正逐步围绕房屋自身的“价值”进行回归调整</w:t>
      </w:r>
      <w:r>
        <w:rPr>
          <w:rFonts w:hint="eastAsia" w:ascii="仿宋" w:hAnsi="仿宋" w:eastAsia="仿宋" w:cs="仿宋"/>
          <w:sz w:val="32"/>
          <w:szCs w:val="32"/>
          <w:lang w:val="en-US" w:eastAsia="zh-CN"/>
        </w:rPr>
        <w:t>，与715新政“合理市场预期，打击投机炒作”的调控目标基本吻合——即针对此前舆论关注热度高，但区域优势不明显，或区域配套尚不成熟的报价虚高楼盘降温效果明显，此类楼盘在新政后近两个月时间内持续出现了报价下调</w:t>
      </w:r>
      <w:r>
        <w:rPr>
          <w:rFonts w:hint="eastAsia" w:ascii="仿宋" w:hAnsi="仿宋" w:eastAsia="仿宋" w:cs="仿宋"/>
          <w:b w:val="0"/>
          <w:bCs w:val="0"/>
          <w:sz w:val="32"/>
          <w:szCs w:val="32"/>
          <w:lang w:val="en-US" w:eastAsia="zh-CN"/>
        </w:rPr>
        <w:t>；</w:t>
      </w:r>
      <w:r>
        <w:rPr>
          <w:rFonts w:hint="eastAsia" w:ascii="仿宋" w:hAnsi="仿宋" w:eastAsia="仿宋" w:cs="仿宋"/>
          <w:sz w:val="32"/>
          <w:szCs w:val="32"/>
          <w:lang w:val="en-US" w:eastAsia="zh-CN"/>
        </w:rPr>
        <w:t>而区位优势明显，区域配套成熟或楼盘本身定位属性较高的房源，由于稀缺属性显著，业主报价则相对“坚挺”，但相比新政前大幅“跳涨”的现象，也已明显得到了遏制。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一、成交量打破“冰封”状态，缓慢恢复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与新政刚发布初期成交量“速冻”不同的是，随着时间的推移，市场成交量逐步开始缓慢恢复，项目优势明显的热点楼盘，其成交量相比此前的“冰封”，逐渐呈现出“破冰”态势。</w:t>
      </w:r>
    </w:p>
    <w:tbl>
      <w:tblPr>
        <w:tblStyle w:val="9"/>
        <w:tblpPr w:leftFromText="180" w:rightFromText="180" w:vertAnchor="text" w:horzAnchor="page" w:tblpX="1299" w:tblpY="164"/>
        <w:tblOverlap w:val="never"/>
        <w:tblW w:w="10095" w:type="dxa"/>
        <w:tblInd w:w="0" w:type="dxa"/>
        <w:shd w:val="clear" w:color="auto" w:fill="auto"/>
        <w:tblLayout w:type="autofit"/>
        <w:tblCellMar>
          <w:top w:w="0" w:type="dxa"/>
          <w:left w:w="0" w:type="dxa"/>
          <w:bottom w:w="0" w:type="dxa"/>
          <w:right w:w="0" w:type="dxa"/>
        </w:tblCellMar>
      </w:tblPr>
      <w:tblGrid>
        <w:gridCol w:w="584"/>
        <w:gridCol w:w="754"/>
        <w:gridCol w:w="848"/>
        <w:gridCol w:w="780"/>
        <w:gridCol w:w="1688"/>
        <w:gridCol w:w="1903"/>
        <w:gridCol w:w="1919"/>
        <w:gridCol w:w="1619"/>
      </w:tblGrid>
      <w:tr>
        <w:tblPrEx>
          <w:shd w:val="clear" w:color="auto" w:fill="auto"/>
          <w:tblCellMar>
            <w:top w:w="0" w:type="dxa"/>
            <w:left w:w="0" w:type="dxa"/>
            <w:bottom w:w="0" w:type="dxa"/>
            <w:right w:w="0" w:type="dxa"/>
          </w:tblCellMar>
        </w:tblPrEx>
        <w:trPr>
          <w:trHeight w:val="560" w:hRule="atLeast"/>
        </w:trPr>
        <w:tc>
          <w:tcPr>
            <w:tcW w:w="584" w:type="dxa"/>
            <w:vMerge w:val="restart"/>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区域</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热点片区</w:t>
            </w:r>
          </w:p>
        </w:tc>
        <w:tc>
          <w:tcPr>
            <w:tcW w:w="1628" w:type="dxa"/>
            <w:gridSpan w:val="2"/>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基准参考项目</w:t>
            </w:r>
          </w:p>
        </w:tc>
        <w:tc>
          <w:tcPr>
            <w:tcW w:w="1688"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新政前（6.16采集）</w:t>
            </w:r>
          </w:p>
        </w:tc>
        <w:tc>
          <w:tcPr>
            <w:tcW w:w="1903"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新政后两个月（9.14采集）</w:t>
            </w:r>
          </w:p>
        </w:tc>
        <w:tc>
          <w:tcPr>
            <w:tcW w:w="1919"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highlight w:val="none"/>
                <w:u w:val="none"/>
              </w:rPr>
            </w:pPr>
            <w:r>
              <w:rPr>
                <w:rFonts w:hint="eastAsia" w:ascii="宋体" w:hAnsi="宋体" w:eastAsia="宋体" w:cs="宋体"/>
                <w:b/>
                <w:i w:val="0"/>
                <w:color w:val="FF0000"/>
                <w:kern w:val="0"/>
                <w:sz w:val="16"/>
                <w:szCs w:val="16"/>
                <w:highlight w:val="none"/>
                <w:u w:val="none"/>
                <w:lang w:val="en-US" w:eastAsia="zh-CN" w:bidi="ar"/>
              </w:rPr>
              <w:t>9.14与新政前对比变化</w:t>
            </w:r>
          </w:p>
        </w:tc>
        <w:tc>
          <w:tcPr>
            <w:tcW w:w="1619" w:type="dxa"/>
            <w:vMerge w:val="restart"/>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highlight w:val="none"/>
                <w:u w:val="none"/>
              </w:rPr>
            </w:pPr>
            <w:r>
              <w:rPr>
                <w:rFonts w:hint="eastAsia" w:ascii="宋体" w:hAnsi="宋体" w:eastAsia="宋体" w:cs="宋体"/>
                <w:b/>
                <w:i w:val="0"/>
                <w:color w:val="000000"/>
                <w:kern w:val="0"/>
                <w:sz w:val="16"/>
                <w:szCs w:val="16"/>
                <w:highlight w:val="none"/>
                <w:u w:val="none"/>
                <w:lang w:val="en-US" w:eastAsia="zh-CN" w:bidi="ar"/>
              </w:rPr>
              <w:t>新政发布以来</w:t>
            </w:r>
            <w:r>
              <w:rPr>
                <w:rFonts w:hint="eastAsia" w:ascii="宋体" w:hAnsi="宋体" w:cs="宋体"/>
                <w:b/>
                <w:i w:val="0"/>
                <w:color w:val="FF0000"/>
                <w:kern w:val="0"/>
                <w:sz w:val="16"/>
                <w:szCs w:val="16"/>
                <w:highlight w:val="none"/>
                <w:u w:val="none"/>
                <w:lang w:val="en-US" w:eastAsia="zh-CN" w:bidi="ar"/>
              </w:rPr>
              <w:t>近60天内</w:t>
            </w:r>
            <w:r>
              <w:rPr>
                <w:rFonts w:hint="eastAsia" w:ascii="宋体" w:hAnsi="宋体" w:cs="宋体"/>
                <w:b/>
                <w:i w:val="0"/>
                <w:color w:val="000000"/>
                <w:kern w:val="0"/>
                <w:sz w:val="16"/>
                <w:szCs w:val="16"/>
                <w:highlight w:val="none"/>
                <w:u w:val="none"/>
                <w:lang w:val="en-US" w:eastAsia="zh-CN" w:bidi="ar"/>
              </w:rPr>
              <w:t>成交套数</w:t>
            </w:r>
            <w:r>
              <w:rPr>
                <w:rFonts w:hint="eastAsia" w:ascii="宋体" w:hAnsi="宋体" w:eastAsia="宋体" w:cs="宋体"/>
                <w:b/>
                <w:i w:val="0"/>
                <w:color w:val="000000"/>
                <w:kern w:val="0"/>
                <w:sz w:val="16"/>
                <w:szCs w:val="16"/>
                <w:highlight w:val="none"/>
                <w:u w:val="none"/>
                <w:lang w:val="en-US" w:eastAsia="zh-CN" w:bidi="ar"/>
              </w:rPr>
              <w:t>（9.14采集）</w:t>
            </w:r>
          </w:p>
        </w:tc>
      </w:tr>
      <w:tr>
        <w:tblPrEx>
          <w:tblCellMar>
            <w:top w:w="0" w:type="dxa"/>
            <w:left w:w="0" w:type="dxa"/>
            <w:bottom w:w="0" w:type="dxa"/>
            <w:right w:w="0" w:type="dxa"/>
          </w:tblCellMar>
        </w:tblPrEx>
        <w:trPr>
          <w:trHeight w:val="549"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热点楼盘</w:t>
            </w:r>
          </w:p>
        </w:tc>
        <w:tc>
          <w:tcPr>
            <w:tcW w:w="78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放盘平台</w:t>
            </w:r>
          </w:p>
        </w:tc>
        <w:tc>
          <w:tcPr>
            <w:tcW w:w="3591" w:type="dxa"/>
            <w:gridSpan w:val="2"/>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该小区在当前平台报盘均价平均数（元/平米）</w:t>
            </w:r>
          </w:p>
        </w:tc>
        <w:tc>
          <w:tcPr>
            <w:tcW w:w="1919" w:type="dxa"/>
            <w:tcBorders>
              <w:top w:val="single" w:color="000000" w:sz="4" w:space="0"/>
              <w:left w:val="single" w:color="000000" w:sz="4" w:space="0"/>
              <w:bottom w:val="single" w:color="000000" w:sz="4" w:space="0"/>
              <w:right w:val="nil"/>
            </w:tcBorders>
            <w:shd w:val="clear" w:color="auto" w:fill="F2F2F2"/>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新政前后该小区在当前平台报盘均价的变化</w:t>
            </w:r>
          </w:p>
        </w:tc>
        <w:tc>
          <w:tcPr>
            <w:tcW w:w="1619" w:type="dxa"/>
            <w:vMerge w:val="continue"/>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r>
      <w:tr>
        <w:tblPrEx>
          <w:tblCellMar>
            <w:top w:w="0" w:type="dxa"/>
            <w:left w:w="0" w:type="dxa"/>
            <w:bottom w:w="0" w:type="dxa"/>
            <w:right w:w="0" w:type="dxa"/>
          </w:tblCellMar>
        </w:tblPrEx>
        <w:trPr>
          <w:trHeight w:val="270" w:hRule="atLeast"/>
        </w:trPr>
        <w:tc>
          <w:tcPr>
            <w:tcW w:w="5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福田</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香蜜湖片区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锦庐花园</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196438</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195280</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-0.59%</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187"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2"/>
                <w:szCs w:val="12"/>
                <w:u w:val="none"/>
              </w:rPr>
            </w:pPr>
            <w:r>
              <w:rPr>
                <w:rFonts w:hint="eastAsia" w:ascii="宋体" w:hAnsi="宋体" w:eastAsia="宋体" w:cs="宋体"/>
                <w:b/>
                <w:i w:val="0"/>
                <w:color w:val="FF0000"/>
                <w:kern w:val="0"/>
                <w:sz w:val="12"/>
                <w:szCs w:val="12"/>
                <w:u w:val="none"/>
                <w:lang w:val="en-US" w:eastAsia="zh-CN" w:bidi="ar"/>
              </w:rPr>
              <w:t>竹园小区</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148847</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176879</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18.83%</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2</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2</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南山</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红树林片区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2"/>
                <w:szCs w:val="12"/>
                <w:u w:val="none"/>
              </w:rPr>
            </w:pPr>
            <w:r>
              <w:rPr>
                <w:rFonts w:hint="eastAsia" w:ascii="宋体" w:hAnsi="宋体" w:eastAsia="宋体" w:cs="宋体"/>
                <w:b/>
                <w:i w:val="0"/>
                <w:color w:val="FF0000"/>
                <w:kern w:val="0"/>
                <w:sz w:val="12"/>
                <w:szCs w:val="12"/>
                <w:u w:val="none"/>
                <w:lang w:val="en-US" w:eastAsia="zh-CN" w:bidi="ar"/>
              </w:rPr>
              <w:t>红树西岸</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149954</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161161</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7.47%</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w:t>
            </w:r>
          </w:p>
        </w:tc>
      </w:tr>
      <w:tr>
        <w:tblPrEx>
          <w:tblCellMar>
            <w:top w:w="0" w:type="dxa"/>
            <w:left w:w="0" w:type="dxa"/>
            <w:bottom w:w="0" w:type="dxa"/>
            <w:right w:w="0" w:type="dxa"/>
          </w:tblCellMar>
        </w:tblPrEx>
        <w:trPr>
          <w:trHeight w:val="270" w:hRule="atLeast"/>
        </w:trPr>
        <w:tc>
          <w:tcPr>
            <w:tcW w:w="5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宝安</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2"/>
                <w:szCs w:val="12"/>
                <w:u w:val="none"/>
              </w:rPr>
            </w:pPr>
            <w:r>
              <w:rPr>
                <w:rFonts w:hint="eastAsia" w:ascii="宋体" w:hAnsi="宋体" w:eastAsia="宋体" w:cs="宋体"/>
                <w:b/>
                <w:i w:val="0"/>
                <w:color w:val="00B050"/>
                <w:kern w:val="0"/>
                <w:sz w:val="12"/>
                <w:szCs w:val="12"/>
                <w:u w:val="none"/>
                <w:lang w:val="en-US" w:eastAsia="zh-CN" w:bidi="ar"/>
              </w:rPr>
              <w:t>沙井片区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2"/>
                <w:szCs w:val="12"/>
                <w:u w:val="none"/>
              </w:rPr>
            </w:pPr>
            <w:r>
              <w:rPr>
                <w:rFonts w:hint="eastAsia" w:ascii="宋体" w:hAnsi="宋体" w:eastAsia="宋体" w:cs="宋体"/>
                <w:b/>
                <w:i w:val="0"/>
                <w:color w:val="00B050"/>
                <w:kern w:val="0"/>
                <w:sz w:val="12"/>
                <w:szCs w:val="12"/>
                <w:u w:val="none"/>
                <w:lang w:val="en-US" w:eastAsia="zh-CN" w:bidi="ar"/>
              </w:rPr>
              <w:t>鸿荣源禧园</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57525</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56789</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-1.28%</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西乡片区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圣淘沙骏园</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99881</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100565</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0.68%</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2</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restar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龙华</w:t>
            </w:r>
          </w:p>
        </w:tc>
        <w:tc>
          <w:tcPr>
            <w:tcW w:w="754"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上塘片区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特发和平里</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73910</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73586</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-0.44%</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17" w:hRule="atLeast"/>
        </w:trPr>
        <w:tc>
          <w:tcPr>
            <w:tcW w:w="584"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3</w:t>
            </w:r>
          </w:p>
        </w:tc>
      </w:tr>
      <w:tr>
        <w:tblPrEx>
          <w:tblCellMar>
            <w:top w:w="0" w:type="dxa"/>
            <w:left w:w="0" w:type="dxa"/>
            <w:bottom w:w="0" w:type="dxa"/>
            <w:right w:w="0" w:type="dxa"/>
          </w:tblCellMar>
        </w:tblPrEx>
        <w:trPr>
          <w:trHeight w:val="270" w:hRule="atLeast"/>
        </w:trPr>
        <w:tc>
          <w:tcPr>
            <w:tcW w:w="5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龙岗</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2"/>
                <w:szCs w:val="12"/>
                <w:u w:val="none"/>
              </w:rPr>
            </w:pPr>
            <w:r>
              <w:rPr>
                <w:rFonts w:hint="eastAsia" w:ascii="宋体" w:hAnsi="宋体" w:eastAsia="宋体" w:cs="宋体"/>
                <w:b/>
                <w:i w:val="0"/>
                <w:color w:val="000000"/>
                <w:kern w:val="0"/>
                <w:sz w:val="12"/>
                <w:szCs w:val="12"/>
                <w:u w:val="none"/>
                <w:lang w:val="en-US" w:eastAsia="zh-CN" w:bidi="ar"/>
              </w:rPr>
              <w:t>坂田片区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2"/>
                <w:szCs w:val="12"/>
                <w:u w:val="none"/>
              </w:rPr>
            </w:pPr>
            <w:r>
              <w:rPr>
                <w:rFonts w:hint="eastAsia" w:ascii="宋体" w:hAnsi="宋体" w:eastAsia="宋体" w:cs="宋体"/>
                <w:b/>
                <w:i w:val="0"/>
                <w:color w:val="FF0000"/>
                <w:kern w:val="0"/>
                <w:sz w:val="12"/>
                <w:szCs w:val="12"/>
                <w:u w:val="none"/>
                <w:lang w:val="en-US" w:eastAsia="zh-CN" w:bidi="ar"/>
              </w:rPr>
              <w:t>星河银湖谷</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c>
          <w:tcPr>
            <w:tcW w:w="1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88806</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92917</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4.63%</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7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2"/>
                <w:szCs w:val="1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2"/>
                <w:szCs w:val="1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c>
          <w:tcPr>
            <w:tcW w:w="1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（图表来源：深圳市房地产中介协会）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二、新政影响将延续，趋势性、结构性涨跌或将持续上演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新政在“合理市场预期，</w:t>
      </w:r>
      <w:bookmarkStart w:id="0" w:name="_GoBack"/>
      <w:bookmarkEnd w:id="0"/>
      <w:r>
        <w:rPr>
          <w:rFonts w:hint="eastAsia" w:ascii="仿宋" w:hAnsi="仿宋" w:eastAsia="仿宋" w:cs="仿宋"/>
          <w:sz w:val="32"/>
          <w:szCs w:val="32"/>
          <w:lang w:val="en-US" w:eastAsia="zh-CN"/>
        </w:rPr>
        <w:t>打击投机炒作”方面的目的与作用非常明确，但其对市场影响的最终成效，可能将如深房中协此前预测的那样，即在新政发布后的3至4个月，甚至更长的时间里，在经历完买卖双方观望与反复拉锯博弈后，方才能真正显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三、消费者应合理研判自身需求与承受能力，理性入市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em w:val="dot"/>
          <w:lang w:val="en-US" w:eastAsia="zh-CN"/>
        </w:rPr>
        <w:t>防止楼市大起大落，保持楼市持续平稳、健康发展，才是楼市调控政策的初衷</w:t>
      </w:r>
      <w:r>
        <w:rPr>
          <w:rFonts w:hint="eastAsia" w:ascii="仿宋" w:hAnsi="仿宋" w:eastAsia="仿宋" w:cs="仿宋"/>
          <w:sz w:val="32"/>
          <w:szCs w:val="32"/>
          <w:lang w:val="en-US" w:eastAsia="zh-CN"/>
        </w:rPr>
        <w:t>。而消费者切勿盲目一刀切式地认为楼市调控就是一昧地打压房价，房价围绕房屋自身价值，在小幅合理的区间内上下波动，即有限度的各有涨跌，才是楼市健康的常态体现。而房产交易涉及金额大，周期长，消费者更应该根据自身实际情况，理性判断自身所能接受的房价预期，并合理根据房价波动情况，选择适合自身需求与承受能力（按揭贷款压力）的房源，理性入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时，随着新政效果的持续发酵，深房中协仍将在随后的时间段里，持续性观察和记录上述热点楼盘房源的报价动态，并每月进行对比分析，以总结出趋势性与规律性的变化情况，希望以此能给大家的购房置业以及研判楼市，提供有价值的参考。</w:t>
      </w:r>
    </w:p>
    <w:sectPr>
      <w:headerReference r:id="rId3" w:type="default"/>
      <w:footerReference r:id="rId4" w:type="default"/>
      <w:pgSz w:w="11906" w:h="16838"/>
      <w:pgMar w:top="1701" w:right="1701" w:bottom="1588" w:left="1701"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4097" o:spid="_x0000_s4097" o:spt="75" type="#_x0000_t75" style="position:absolute;left:0pt;margin-top:0pt;height:144pt;width:144pt;mso-position-horizontal:center;mso-position-horizontal-relative:margin;mso-wrap-style:none;z-index:1024;mso-width-relative:page;mso-height-relative:page;" o:ole="t" filled="f" stroked="f" coordsize="21600,21600">
          <v:path/>
          <v:fill on="f" focussize="0,0"/>
          <v:stroke on="f"/>
          <v:imagedata o:title=""/>
          <o:lock v:ext="edit" aspectratio="t"/>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o:OLEObject Type="Embed" ProgID="Excel.Chart.8" ShapeID="4097" DrawAspect="Content" ObjectID="_1468075725" r:id="rId1">
          <o:LockedField>false</o:LockedField>
        </o:OLEObj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003F3A0A"/>
    <w:rsid w:val="004B03FE"/>
    <w:rsid w:val="02122500"/>
    <w:rsid w:val="023F365D"/>
    <w:rsid w:val="03241B91"/>
    <w:rsid w:val="05702FA4"/>
    <w:rsid w:val="058B4BF9"/>
    <w:rsid w:val="05DE1F21"/>
    <w:rsid w:val="06AB5852"/>
    <w:rsid w:val="06B25433"/>
    <w:rsid w:val="07D43594"/>
    <w:rsid w:val="08C87AE2"/>
    <w:rsid w:val="09247D0A"/>
    <w:rsid w:val="09F51B14"/>
    <w:rsid w:val="0A645F12"/>
    <w:rsid w:val="0B585D60"/>
    <w:rsid w:val="0BF6022C"/>
    <w:rsid w:val="0C1B002E"/>
    <w:rsid w:val="0C431361"/>
    <w:rsid w:val="0C557BFD"/>
    <w:rsid w:val="0CD37B11"/>
    <w:rsid w:val="0CE3780C"/>
    <w:rsid w:val="0E900735"/>
    <w:rsid w:val="0EBD2BC7"/>
    <w:rsid w:val="121C5B07"/>
    <w:rsid w:val="12C138C0"/>
    <w:rsid w:val="13986F50"/>
    <w:rsid w:val="142775CF"/>
    <w:rsid w:val="148E08C6"/>
    <w:rsid w:val="14943F81"/>
    <w:rsid w:val="14ED72C4"/>
    <w:rsid w:val="14FE0B34"/>
    <w:rsid w:val="16D77676"/>
    <w:rsid w:val="17D36E8C"/>
    <w:rsid w:val="19322788"/>
    <w:rsid w:val="19364E93"/>
    <w:rsid w:val="199F7FE6"/>
    <w:rsid w:val="1A156BB7"/>
    <w:rsid w:val="1AE364B4"/>
    <w:rsid w:val="1B83449B"/>
    <w:rsid w:val="1B8B1B7B"/>
    <w:rsid w:val="1B98357A"/>
    <w:rsid w:val="1BBB2515"/>
    <w:rsid w:val="1DD048C6"/>
    <w:rsid w:val="1E1D6AF9"/>
    <w:rsid w:val="1E47632A"/>
    <w:rsid w:val="1E523855"/>
    <w:rsid w:val="1F215FC3"/>
    <w:rsid w:val="1F772A00"/>
    <w:rsid w:val="1FAA11EF"/>
    <w:rsid w:val="22FE5A29"/>
    <w:rsid w:val="236E6852"/>
    <w:rsid w:val="23E113DB"/>
    <w:rsid w:val="26105F4D"/>
    <w:rsid w:val="26451151"/>
    <w:rsid w:val="2654511C"/>
    <w:rsid w:val="2662634E"/>
    <w:rsid w:val="26F23A7D"/>
    <w:rsid w:val="28BF6A3B"/>
    <w:rsid w:val="29105E48"/>
    <w:rsid w:val="291F766F"/>
    <w:rsid w:val="29B7609D"/>
    <w:rsid w:val="2A7E75F0"/>
    <w:rsid w:val="2B7A62CC"/>
    <w:rsid w:val="2BBC3922"/>
    <w:rsid w:val="2C1731EC"/>
    <w:rsid w:val="2D284FB7"/>
    <w:rsid w:val="2D2A7FC1"/>
    <w:rsid w:val="2D620FF1"/>
    <w:rsid w:val="2D636347"/>
    <w:rsid w:val="2DAB4FD6"/>
    <w:rsid w:val="2DF22367"/>
    <w:rsid w:val="2E1C1350"/>
    <w:rsid w:val="2E891A71"/>
    <w:rsid w:val="2FA82F14"/>
    <w:rsid w:val="2FC551FA"/>
    <w:rsid w:val="31FC4E2A"/>
    <w:rsid w:val="334E2F9D"/>
    <w:rsid w:val="33786667"/>
    <w:rsid w:val="349A6607"/>
    <w:rsid w:val="34A85E4E"/>
    <w:rsid w:val="34EF640C"/>
    <w:rsid w:val="350B37D6"/>
    <w:rsid w:val="350D58F3"/>
    <w:rsid w:val="367235F0"/>
    <w:rsid w:val="36F91A36"/>
    <w:rsid w:val="382917BD"/>
    <w:rsid w:val="39787860"/>
    <w:rsid w:val="39EB26C3"/>
    <w:rsid w:val="3B4442AF"/>
    <w:rsid w:val="3B6A1B13"/>
    <w:rsid w:val="3BDA3394"/>
    <w:rsid w:val="3C9227B4"/>
    <w:rsid w:val="3E5675E3"/>
    <w:rsid w:val="403F002C"/>
    <w:rsid w:val="40665BA2"/>
    <w:rsid w:val="408B1CA4"/>
    <w:rsid w:val="42CF6CA2"/>
    <w:rsid w:val="42F85641"/>
    <w:rsid w:val="43F55BEA"/>
    <w:rsid w:val="43FC2176"/>
    <w:rsid w:val="44A9649B"/>
    <w:rsid w:val="44E24554"/>
    <w:rsid w:val="45F43E7C"/>
    <w:rsid w:val="466A6714"/>
    <w:rsid w:val="46FF11B2"/>
    <w:rsid w:val="471710EA"/>
    <w:rsid w:val="48471899"/>
    <w:rsid w:val="49181A01"/>
    <w:rsid w:val="495D753E"/>
    <w:rsid w:val="49701CEE"/>
    <w:rsid w:val="4A056D68"/>
    <w:rsid w:val="4A1E55F0"/>
    <w:rsid w:val="4A33444E"/>
    <w:rsid w:val="4B376CAE"/>
    <w:rsid w:val="4B43389C"/>
    <w:rsid w:val="4B890084"/>
    <w:rsid w:val="4B9A6747"/>
    <w:rsid w:val="4D0A4041"/>
    <w:rsid w:val="4D6F56C4"/>
    <w:rsid w:val="4DA90EE9"/>
    <w:rsid w:val="4DAF5C70"/>
    <w:rsid w:val="4DCA323B"/>
    <w:rsid w:val="4F6A52C9"/>
    <w:rsid w:val="50902715"/>
    <w:rsid w:val="509B403C"/>
    <w:rsid w:val="50C04F9D"/>
    <w:rsid w:val="50DA5A1C"/>
    <w:rsid w:val="511B6262"/>
    <w:rsid w:val="52521533"/>
    <w:rsid w:val="53525572"/>
    <w:rsid w:val="53E537B0"/>
    <w:rsid w:val="54132DB7"/>
    <w:rsid w:val="545E24FB"/>
    <w:rsid w:val="546278DC"/>
    <w:rsid w:val="5542238F"/>
    <w:rsid w:val="55AA2C10"/>
    <w:rsid w:val="56150D48"/>
    <w:rsid w:val="56366E45"/>
    <w:rsid w:val="572E2FD7"/>
    <w:rsid w:val="57E24C5B"/>
    <w:rsid w:val="59171BFF"/>
    <w:rsid w:val="594D7739"/>
    <w:rsid w:val="59552B7A"/>
    <w:rsid w:val="5A63240B"/>
    <w:rsid w:val="5C0641B5"/>
    <w:rsid w:val="5C326049"/>
    <w:rsid w:val="5CE109B7"/>
    <w:rsid w:val="5D4E4DCB"/>
    <w:rsid w:val="5D9A7275"/>
    <w:rsid w:val="5DFA499B"/>
    <w:rsid w:val="5ED10F5D"/>
    <w:rsid w:val="60DB215E"/>
    <w:rsid w:val="61402FF1"/>
    <w:rsid w:val="619E7617"/>
    <w:rsid w:val="61AC3067"/>
    <w:rsid w:val="6219508F"/>
    <w:rsid w:val="62BA7CC2"/>
    <w:rsid w:val="62D53BB6"/>
    <w:rsid w:val="63BF0A3D"/>
    <w:rsid w:val="64BA4F8C"/>
    <w:rsid w:val="65AC71B5"/>
    <w:rsid w:val="65D845CC"/>
    <w:rsid w:val="662D3686"/>
    <w:rsid w:val="67FA5A1B"/>
    <w:rsid w:val="687606D2"/>
    <w:rsid w:val="687A5E34"/>
    <w:rsid w:val="694B2C8D"/>
    <w:rsid w:val="69B32976"/>
    <w:rsid w:val="6A2044BB"/>
    <w:rsid w:val="6A26116C"/>
    <w:rsid w:val="6AC6525D"/>
    <w:rsid w:val="6B2B4B7C"/>
    <w:rsid w:val="6B9447B9"/>
    <w:rsid w:val="6BEB503E"/>
    <w:rsid w:val="6C192187"/>
    <w:rsid w:val="6CD21138"/>
    <w:rsid w:val="6D701780"/>
    <w:rsid w:val="6D851CDD"/>
    <w:rsid w:val="6E461A3F"/>
    <w:rsid w:val="6E971F03"/>
    <w:rsid w:val="6FD73ED9"/>
    <w:rsid w:val="6FE03245"/>
    <w:rsid w:val="709140DB"/>
    <w:rsid w:val="713C38B5"/>
    <w:rsid w:val="71C25410"/>
    <w:rsid w:val="72346F95"/>
    <w:rsid w:val="72AE2C95"/>
    <w:rsid w:val="73671101"/>
    <w:rsid w:val="7558666B"/>
    <w:rsid w:val="75754B4C"/>
    <w:rsid w:val="75930F90"/>
    <w:rsid w:val="75CD2440"/>
    <w:rsid w:val="762D07BF"/>
    <w:rsid w:val="76C27AA6"/>
    <w:rsid w:val="76EF2FEE"/>
    <w:rsid w:val="78637355"/>
    <w:rsid w:val="792C7325"/>
    <w:rsid w:val="793A4FD6"/>
    <w:rsid w:val="798F5129"/>
    <w:rsid w:val="79B25283"/>
    <w:rsid w:val="7AF072B2"/>
    <w:rsid w:val="7C55075D"/>
    <w:rsid w:val="7D962E10"/>
    <w:rsid w:val="7DB8125D"/>
    <w:rsid w:val="7E4159AC"/>
    <w:rsid w:val="7E6E0FDA"/>
    <w:rsid w:val="7FEE4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15"/>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Date"/>
    <w:basedOn w:val="1"/>
    <w:next w:val="1"/>
    <w:link w:val="20"/>
    <w:qFormat/>
    <w:uiPriority w:val="99"/>
    <w:pPr>
      <w:ind w:left="100" w:leftChars="2500"/>
    </w:pPr>
  </w:style>
  <w:style w:type="paragraph" w:styleId="5">
    <w:name w:val="Balloon Text"/>
    <w:basedOn w:val="1"/>
    <w:link w:val="21"/>
    <w:qFormat/>
    <w:uiPriority w:val="99"/>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Emphasis"/>
    <w:basedOn w:val="10"/>
    <w:qFormat/>
    <w:uiPriority w:val="20"/>
    <w:rPr>
      <w:i/>
      <w:iCs/>
    </w:rPr>
  </w:style>
  <w:style w:type="character" w:styleId="13">
    <w:name w:val="Hyperlink"/>
    <w:basedOn w:val="10"/>
    <w:qFormat/>
    <w:uiPriority w:val="99"/>
    <w:rPr>
      <w:color w:val="0000FF"/>
      <w:u w:val="single"/>
    </w:rPr>
  </w:style>
  <w:style w:type="character" w:styleId="14">
    <w:name w:val="annotation reference"/>
    <w:basedOn w:val="10"/>
    <w:qFormat/>
    <w:uiPriority w:val="99"/>
    <w:rPr>
      <w:sz w:val="21"/>
      <w:szCs w:val="21"/>
    </w:rPr>
  </w:style>
  <w:style w:type="character" w:customStyle="1" w:styleId="15">
    <w:name w:val="标题 1 Char"/>
    <w:basedOn w:val="10"/>
    <w:link w:val="2"/>
    <w:qFormat/>
    <w:uiPriority w:val="9"/>
    <w:rPr>
      <w:rFonts w:ascii="宋体" w:hAnsi="宋体" w:eastAsia="宋体" w:cs="宋体"/>
      <w:b/>
      <w:bCs/>
      <w:kern w:val="36"/>
      <w:sz w:val="48"/>
      <w:szCs w:val="48"/>
    </w:rPr>
  </w:style>
  <w:style w:type="character" w:customStyle="1" w:styleId="16">
    <w:name w:val="页眉 Char"/>
    <w:basedOn w:val="10"/>
    <w:link w:val="7"/>
    <w:qFormat/>
    <w:uiPriority w:val="99"/>
    <w:rPr>
      <w:sz w:val="18"/>
      <w:szCs w:val="18"/>
    </w:rPr>
  </w:style>
  <w:style w:type="character" w:customStyle="1" w:styleId="17">
    <w:name w:val="页脚 Char"/>
    <w:basedOn w:val="10"/>
    <w:link w:val="6"/>
    <w:qFormat/>
    <w:uiPriority w:val="99"/>
    <w:rPr>
      <w:sz w:val="18"/>
      <w:szCs w:val="18"/>
    </w:rPr>
  </w:style>
  <w:style w:type="paragraph" w:styleId="18">
    <w:name w:val="List Paragraph"/>
    <w:basedOn w:val="1"/>
    <w:qFormat/>
    <w:uiPriority w:val="99"/>
    <w:pPr>
      <w:ind w:firstLine="420" w:firstLineChars="200"/>
    </w:pPr>
  </w:style>
  <w:style w:type="character" w:customStyle="1" w:styleId="19">
    <w:name w:val="apple-converted-space"/>
    <w:basedOn w:val="10"/>
    <w:qFormat/>
    <w:uiPriority w:val="0"/>
  </w:style>
  <w:style w:type="character" w:customStyle="1" w:styleId="20">
    <w:name w:val="日期 Char"/>
    <w:basedOn w:val="10"/>
    <w:link w:val="4"/>
    <w:qFormat/>
    <w:uiPriority w:val="99"/>
    <w:rPr>
      <w:rFonts w:ascii="Calibri" w:hAnsi="Calibri" w:eastAsia="宋体" w:cs="宋体"/>
      <w:kern w:val="2"/>
      <w:sz w:val="21"/>
      <w:szCs w:val="22"/>
    </w:rPr>
  </w:style>
  <w:style w:type="character" w:customStyle="1" w:styleId="21">
    <w:name w:val="批注框文本 Char"/>
    <w:basedOn w:val="10"/>
    <w:link w:val="5"/>
    <w:qFormat/>
    <w:uiPriority w:val="99"/>
    <w:rPr>
      <w:rFonts w:ascii="Calibri" w:hAnsi="Calibri" w:eastAsia="宋体" w:cs="宋体"/>
      <w:kern w:val="2"/>
      <w:sz w:val="18"/>
      <w:szCs w:val="18"/>
    </w:rPr>
  </w:style>
  <w:style w:type="character" w:customStyle="1" w:styleId="22">
    <w:name w:val="font21"/>
    <w:basedOn w:val="10"/>
    <w:qFormat/>
    <w:uiPriority w:val="0"/>
    <w:rPr>
      <w:rFonts w:hint="eastAsia" w:ascii="宋体" w:hAnsi="宋体" w:eastAsia="宋体" w:cs="宋体"/>
      <w:b/>
      <w:color w:val="000000"/>
      <w:sz w:val="20"/>
      <w:szCs w:val="20"/>
      <w:u w:val="none"/>
    </w:rPr>
  </w:style>
  <w:style w:type="character" w:customStyle="1" w:styleId="23">
    <w:name w:val="font11"/>
    <w:basedOn w:val="10"/>
    <w:qFormat/>
    <w:uiPriority w:val="0"/>
    <w:rPr>
      <w:rFonts w:hint="eastAsia" w:ascii="宋体" w:hAnsi="宋体" w:eastAsia="宋体" w:cs="宋体"/>
      <w:b/>
      <w:color w:val="FF0000"/>
      <w:sz w:val="20"/>
      <w:szCs w:val="20"/>
      <w:u w:val="none"/>
    </w:rPr>
  </w:style>
  <w:style w:type="character" w:customStyle="1" w:styleId="24">
    <w:name w:val="font41"/>
    <w:basedOn w:val="10"/>
    <w:qFormat/>
    <w:uiPriority w:val="0"/>
    <w:rPr>
      <w:rFonts w:hint="eastAsia" w:ascii="宋体" w:hAnsi="宋体" w:eastAsia="宋体" w:cs="宋体"/>
      <w:b/>
      <w:color w:val="000000"/>
      <w:sz w:val="20"/>
      <w:szCs w:val="20"/>
      <w:u w:val="none"/>
    </w:rPr>
  </w:style>
  <w:style w:type="character" w:customStyle="1" w:styleId="25">
    <w:name w:val="font31"/>
    <w:basedOn w:val="10"/>
    <w:qFormat/>
    <w:uiPriority w:val="0"/>
    <w:rPr>
      <w:rFonts w:hint="eastAsia" w:ascii="宋体" w:hAnsi="宋体" w:eastAsia="宋体" w:cs="宋体"/>
      <w:b/>
      <w:color w:val="FF0000"/>
      <w:sz w:val="20"/>
      <w:szCs w:val="20"/>
      <w:u w:val="none"/>
    </w:rPr>
  </w:style>
  <w:style w:type="character" w:customStyle="1" w:styleId="26">
    <w:name w:val="font71"/>
    <w:basedOn w:val="10"/>
    <w:qFormat/>
    <w:uiPriority w:val="0"/>
    <w:rPr>
      <w:rFonts w:hint="eastAsia" w:ascii="宋体" w:hAnsi="宋体" w:eastAsia="宋体" w:cs="宋体"/>
      <w:b/>
      <w:color w:val="000000"/>
      <w:sz w:val="12"/>
      <w:szCs w:val="1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673F7-8838-4F64-89A7-B3C4A34595B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1509</Words>
  <Characters>2050</Characters>
  <Paragraphs>344</Paragraphs>
  <TotalTime>7</TotalTime>
  <ScaleCrop>false</ScaleCrop>
  <LinksUpToDate>false</LinksUpToDate>
  <CharactersWithSpaces>2051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2018-11-21T01:56:00Z</dcterms:created>
  <dc:creator>huah</dc:creator>
  <cp:lastModifiedBy>深房中协—华洪</cp:lastModifiedBy>
  <cp:lastPrinted>2019-07-25T01:26:00Z</cp:lastPrinted>
  <dcterms:modified xsi:type="dcterms:W3CDTF">2020-09-15T06:10:04Z</dcterms:modified>
  <cp:revision>9133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