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drawings/drawing1.xml" ContentType="application/vnd.openxmlformats-officedocument.drawingml.chartshapes+xml"/>
  <Override PartName="/word/drawings/drawing2.xml" ContentType="application/vnd.openxmlformats-officedocument.drawingml.chartshap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新政后二手房网签量与中介带看量双双遇“腰斩”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——7˙15新政实施后深圳市二手房市场变化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自7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˙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新政落地以来，深圳市房地产中介协会（以下简称“深房中协”）一方面积极观测我市二手房网签数据走势，另一方面，则积极收集会员机构反馈的数据与信息，根据对目前所掌握到的数据分析，并结合对我市历次调控政策发布后的市场历史走势对比研究，认为，此次新政与我市历次调控政策发挥作用的节奏可能相一致，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预计</w:t>
      </w:r>
      <w:r>
        <w:rPr>
          <w:rFonts w:hint="default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7</w:t>
      </w:r>
      <w:r>
        <w:rPr>
          <w:rFonts w:hint="eastAsia" w:ascii="黑体" w:hAnsi="黑体" w:eastAsia="黑体" w:cs="黑体"/>
          <w:b/>
          <w:bCs/>
          <w:sz w:val="32"/>
          <w:szCs w:val="32"/>
          <w:em w:val="dot"/>
          <w:lang w:val="en-US" w:eastAsia="zh-CN"/>
        </w:rPr>
        <w:t>˙</w:t>
      </w:r>
      <w:r>
        <w:rPr>
          <w:rFonts w:hint="default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15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调控影响将分两阶段梯次显现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：第一阶段为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政策剧烈反应期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，即成交量在短时间内将会大幅度下跌，同时，中介带看量也会明显下滑；第二阶段为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政策消化期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，即一般自新政发布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起2-6个月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，其效应方逐步在房地产价格上体现，深房中协预计，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˙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新政影响力预计将在今年国庆后才会完整显现。同时，这个期间市场的观望与博弈互为影响，若此后政策方向不发生根本性扭转，则将持续保持低位平稳运行态势。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" w:hAnsi="仿宋" w:eastAsia="仿宋"/>
          <w:b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</w:rPr>
        <w:t>一、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新政后一周，全市二手房网</w:t>
      </w:r>
      <w:r>
        <w:rPr>
          <w:rFonts w:hint="eastAsia" w:ascii="仿宋" w:hAnsi="仿宋" w:eastAsia="仿宋"/>
          <w:b/>
          <w:bCs w:val="0"/>
          <w:sz w:val="32"/>
          <w:szCs w:val="32"/>
          <w:lang w:eastAsia="zh-CN"/>
        </w:rPr>
        <w:t>签量环比</w:t>
      </w:r>
      <w:r>
        <w:rPr>
          <w:rFonts w:hint="eastAsia" w:ascii="仿宋" w:hAnsi="仿宋" w:eastAsia="仿宋"/>
          <w:b/>
          <w:bCs w:val="0"/>
          <w:sz w:val="32"/>
          <w:szCs w:val="32"/>
          <w:lang w:val="en-US" w:eastAsia="zh-CN"/>
        </w:rPr>
        <w:t>下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跌近八成</w:t>
      </w:r>
    </w:p>
    <w:p>
      <w:pPr>
        <w:pStyle w:val="1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" w:hAnsi="仿宋" w:eastAsia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）全市</w:t>
      </w: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二手房网签量大幅下滑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深房中协根据深圳市住建局房地产信息平台预录网签合同数据分析（所谓网签量，系指在深圳市房地产信息平台在线预录入《深圳市二手房买卖合同》示范文本合同份数， 并非最终成交过户套数，因此网签数据时效性较强，更贴合实际市场成交走势），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7月15日新政后，深圳二手房网签量呈现断崖式下滑态势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，16日至22日期间，深圳二手房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日均网签222套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，相对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6月份日均450套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出现明显下滑。</w:t>
      </w:r>
    </w:p>
    <w:p>
      <w:pPr>
        <w:bidi w:val="0"/>
        <w:jc w:val="center"/>
      </w:pPr>
      <w:r>
        <w:drawing>
          <wp:inline distT="0" distB="0" distL="114300" distR="114300">
            <wp:extent cx="4876800" cy="2901315"/>
            <wp:effectExtent l="4445" t="4445" r="14605" b="8890"/>
            <wp:docPr id="1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>
      <w:pPr>
        <w:bidi w:val="0"/>
        <w:jc w:val="center"/>
        <w:rPr>
          <w:rFonts w:hint="eastAsia" w:eastAsia="宋体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（数据来源：深房中协标准指数）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（二）行业龙头机构成交量平均下滑61%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此外，通过深房中协部分会员机构所反映的成交数据对比看，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政策前后（各自一周时间）机构成交量下滑幅度达61%。几大龙头机构日均合计成交量由政策前的463套，下降到政策后日均180套。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（注：此处是机构内部二手房成交数据，与市场网签数据存在时间差）</w:t>
      </w:r>
    </w:p>
    <w:tbl>
      <w:tblPr>
        <w:tblStyle w:val="9"/>
        <w:tblW w:w="7000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98"/>
        <w:gridCol w:w="480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70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7.15新政实施后二手房市场成交量变化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类别</w:t>
            </w:r>
          </w:p>
        </w:tc>
        <w:tc>
          <w:tcPr>
            <w:tcW w:w="4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新政前后中介带看量环比变化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贝壳</w:t>
            </w:r>
          </w:p>
        </w:tc>
        <w:tc>
          <w:tcPr>
            <w:tcW w:w="4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FF0000"/>
                <w:kern w:val="0"/>
                <w:sz w:val="24"/>
                <w:szCs w:val="24"/>
                <w:u w:val="none"/>
                <w:lang w:val="en-US" w:eastAsia="zh-CN"/>
              </w:rPr>
              <w:t>下降约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/>
              </w:rPr>
              <w:t>50%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乐有家</w:t>
            </w:r>
          </w:p>
        </w:tc>
        <w:tc>
          <w:tcPr>
            <w:tcW w:w="4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FF0000"/>
                <w:kern w:val="0"/>
                <w:sz w:val="24"/>
                <w:szCs w:val="24"/>
                <w:u w:val="none"/>
                <w:lang w:val="en-US" w:eastAsia="zh-CN"/>
              </w:rPr>
              <w:t>下降约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/>
              </w:rPr>
              <w:t>71%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Q房网</w:t>
            </w:r>
          </w:p>
        </w:tc>
        <w:tc>
          <w:tcPr>
            <w:tcW w:w="4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FF0000"/>
                <w:kern w:val="0"/>
                <w:sz w:val="24"/>
                <w:szCs w:val="24"/>
                <w:u w:val="none"/>
                <w:lang w:val="en-US" w:eastAsia="zh-CN"/>
              </w:rPr>
              <w:t>下降约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/>
              </w:rPr>
              <w:t>68%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  <w:jc w:val="center"/>
        </w:trPr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中原</w:t>
            </w:r>
          </w:p>
        </w:tc>
        <w:tc>
          <w:tcPr>
            <w:tcW w:w="4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FF0000"/>
                <w:kern w:val="0"/>
                <w:sz w:val="24"/>
                <w:szCs w:val="24"/>
                <w:u w:val="none"/>
                <w:lang w:val="en-US" w:eastAsia="zh-CN"/>
              </w:rPr>
              <w:t>下降约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/>
              </w:rPr>
              <w:t>64%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二、中介机构带看量遇“断崖”式下滑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除了成交量的大幅下滑之外，房地产中介机构的带看量同样也遇到了大幅下滑现象，根据机构反馈，7.15新政实施前后（各自一周时间）带看量环比平均下滑50%左右。</w:t>
      </w:r>
    </w:p>
    <w:tbl>
      <w:tblPr>
        <w:tblStyle w:val="9"/>
        <w:tblW w:w="6420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19"/>
        <w:gridCol w:w="440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64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7.15新政实施后二手房市场带看量变化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类别</w:t>
            </w:r>
          </w:p>
        </w:tc>
        <w:tc>
          <w:tcPr>
            <w:tcW w:w="4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新政前后中介带看量环比变化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贝壳</w:t>
            </w:r>
          </w:p>
        </w:tc>
        <w:tc>
          <w:tcPr>
            <w:tcW w:w="4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FF0000"/>
                <w:kern w:val="0"/>
                <w:sz w:val="24"/>
                <w:szCs w:val="24"/>
                <w:u w:val="none"/>
                <w:lang w:val="en-US" w:eastAsia="zh-CN"/>
              </w:rPr>
              <w:t>下降约45%—50%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乐有家</w:t>
            </w:r>
          </w:p>
        </w:tc>
        <w:tc>
          <w:tcPr>
            <w:tcW w:w="4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FF0000"/>
                <w:kern w:val="0"/>
                <w:sz w:val="24"/>
                <w:szCs w:val="24"/>
                <w:u w:val="none"/>
                <w:lang w:val="en-US" w:eastAsia="zh-CN"/>
              </w:rPr>
              <w:t>下降约30%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Q房网</w:t>
            </w:r>
          </w:p>
        </w:tc>
        <w:tc>
          <w:tcPr>
            <w:tcW w:w="4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FF0000"/>
                <w:kern w:val="0"/>
                <w:sz w:val="24"/>
                <w:szCs w:val="24"/>
                <w:u w:val="none"/>
                <w:lang w:val="en-US" w:eastAsia="zh-CN"/>
              </w:rPr>
              <w:t>下降约50%—60%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中原</w:t>
            </w:r>
          </w:p>
        </w:tc>
        <w:tc>
          <w:tcPr>
            <w:tcW w:w="4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FF0000"/>
                <w:kern w:val="0"/>
                <w:sz w:val="24"/>
                <w:szCs w:val="24"/>
                <w:u w:val="none"/>
                <w:lang w:val="en-US" w:eastAsia="zh-CN"/>
              </w:rPr>
              <w:t>下降约80%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jc w:val="center"/>
        </w:trPr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美联</w:t>
            </w:r>
          </w:p>
        </w:tc>
        <w:tc>
          <w:tcPr>
            <w:tcW w:w="4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FF0000"/>
                <w:kern w:val="0"/>
                <w:sz w:val="24"/>
                <w:szCs w:val="24"/>
                <w:u w:val="none"/>
                <w:lang w:val="en-US" w:eastAsia="zh-CN"/>
              </w:rPr>
              <w:t>下降约40%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三、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/>
        </w:rPr>
        <w:t>短期内行业投诉量或抬头，需警惕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根据深房中协数据监测，特殊时期内</w:t>
      </w:r>
      <w:bookmarkStart w:id="0" w:name="_GoBack"/>
      <w:bookmarkEnd w:id="0"/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（例如政策影响）行业投诉量走势与网签量走势呈负相关关系（剔除网签量绝对值突变的附带影响），即网签量持续攀升时期，反而行业投诉量低，但当网签量遇到持续下滑行情的时候，行业投诉量反而抬头。事实上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˙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15新政出台后，势必在一定程度上会对部分“在途单”的网签与过户造成一定影响，行业纠纷与投诉短时间内可能有升高的风险，因此，业内应做好充分的应对准备。</w:t>
      </w:r>
    </w:p>
    <w:p>
      <w:pPr>
        <w:bidi w:val="0"/>
        <w:jc w:val="center"/>
      </w:pPr>
      <w:r>
        <w:rPr>
          <w:sz w:val="21"/>
        </w:rPr>
        <w:pict>
          <v:shape id="_x0000_s2052" o:spid="_x0000_s2052" o:spt="3" type="#_x0000_t3" style="position:absolute;left:0pt;margin-left:265pt;margin-top:33.75pt;height:105.8pt;width:120.8pt;z-index:251659264;mso-width-relative:page;mso-height-relative:page;" filled="f" stroked="t" coordsize="21600,21600">
            <v:path/>
            <v:fill on="f" focussize="0,0"/>
            <v:stroke color="#FF0000"/>
            <v:imagedata o:title=""/>
            <o:lock v:ext="edit" aspectratio="f"/>
          </v:shape>
        </w:pict>
      </w:r>
      <w:r>
        <w:rPr>
          <w:sz w:val="21"/>
        </w:rPr>
        <w:pict>
          <v:shape id="_x0000_s2051" o:spid="_x0000_s2051" o:spt="3" type="#_x0000_t3" style="position:absolute;left:0pt;margin-left:61.65pt;margin-top:65.4pt;height:97.5pt;width:97.5pt;z-index:251658240;mso-width-relative:page;mso-height-relative:page;" filled="f" stroked="t" coordsize="21600,21600">
            <v:path/>
            <v:fill on="f" focussize="0,0"/>
            <v:stroke color="#FF0000"/>
            <v:imagedata o:title=""/>
            <o:lock v:ext="edit" aspectratio="f"/>
          </v:shape>
        </w:pict>
      </w:r>
      <w:r>
        <w:drawing>
          <wp:inline distT="0" distB="0" distL="114300" distR="114300">
            <wp:extent cx="5005705" cy="3105785"/>
            <wp:effectExtent l="4445" t="4445" r="19050" b="13970"/>
            <wp:docPr id="6" name="图表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>
      <w:pPr>
        <w:bidi w:val="0"/>
        <w:jc w:val="center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（数据来源：深房中协标准指数）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深房中协预计，随着新政效果的逐渐显现，短期内，深圳二手房成交量将会较长时间保持低位运行态势，长远看，待调整结束后，成交价可能会有所回落。最后，深房中协提醒广大消费者可结合自身情况，合理考量，理性入市。</w:t>
      </w:r>
    </w:p>
    <w:sectPr>
      <w:headerReference r:id="rId3" w:type="default"/>
      <w:footerReference r:id="rId4" w:type="default"/>
      <w:pgSz w:w="11906" w:h="16838"/>
      <w:pgMar w:top="1701" w:right="1701" w:bottom="1588" w:left="1701" w:header="851" w:footer="113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w:pict>
        <v:shape id="4097" o:spid="_x0000_s4097" o:spt="75" type="#_x0000_t75" style="position:absolute;left:0pt;margin-top:0pt;height:144pt;width:144pt;mso-position-horizontal:center;mso-position-horizontal-relative:margin;mso-wrap-style:none;z-index:1024;mso-width-relative:page;mso-height-relative:page;" o:ole="t" filled="f" stroked="f" coordsize="21600,21600">
          <v:path/>
          <v:fill on="f" focussize="0,0"/>
          <v:stroke on="f"/>
          <v:imagedata o:title=""/>
          <o:lock v:ext="edit" aspectratio="t"/>
          <v:textbox inset="0mm,0mm,0mm,0mm" style="mso-fit-shape-to-text:t;">
            <w:txbxContent>
              <w:p>
                <w:pPr>
                  <w:pStyle w:val="6"/>
                  <w:rPr>
                    <w:rFonts w:hint="eastAsia" w:eastAsia="宋体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</w:p>
            </w:txbxContent>
          </v:textbox>
        </v:shape>
        <o:OLEObject Type="Embed" ProgID="Excel.Chart.8" ShapeID="4097" DrawAspect="Content" ObjectID="_1468075725" r:id="rId1">
          <o:LockedField>false</o:LockedField>
        </o:OLEObject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00000"/>
    <w:rsid w:val="00112F5E"/>
    <w:rsid w:val="00215001"/>
    <w:rsid w:val="002A208F"/>
    <w:rsid w:val="00320789"/>
    <w:rsid w:val="003F3A0A"/>
    <w:rsid w:val="00811964"/>
    <w:rsid w:val="00F351B0"/>
    <w:rsid w:val="00F77463"/>
    <w:rsid w:val="012F1F78"/>
    <w:rsid w:val="01A50D51"/>
    <w:rsid w:val="01B76A90"/>
    <w:rsid w:val="01EB3375"/>
    <w:rsid w:val="02873B2E"/>
    <w:rsid w:val="0290241D"/>
    <w:rsid w:val="02AC5F8A"/>
    <w:rsid w:val="02CF34F8"/>
    <w:rsid w:val="02FC1295"/>
    <w:rsid w:val="03216818"/>
    <w:rsid w:val="035405AC"/>
    <w:rsid w:val="03805B7D"/>
    <w:rsid w:val="038C29CB"/>
    <w:rsid w:val="03C713D0"/>
    <w:rsid w:val="03EC7724"/>
    <w:rsid w:val="04001FC8"/>
    <w:rsid w:val="04C151A6"/>
    <w:rsid w:val="04D566A1"/>
    <w:rsid w:val="04DA1A4D"/>
    <w:rsid w:val="04F52B69"/>
    <w:rsid w:val="052E5D6F"/>
    <w:rsid w:val="05332C8F"/>
    <w:rsid w:val="05620EED"/>
    <w:rsid w:val="05AF2050"/>
    <w:rsid w:val="05CE3135"/>
    <w:rsid w:val="05D329D2"/>
    <w:rsid w:val="05D67CFD"/>
    <w:rsid w:val="0695768A"/>
    <w:rsid w:val="06AE1562"/>
    <w:rsid w:val="06F016DE"/>
    <w:rsid w:val="07442898"/>
    <w:rsid w:val="078921DB"/>
    <w:rsid w:val="08E05D60"/>
    <w:rsid w:val="092439EF"/>
    <w:rsid w:val="095C17BE"/>
    <w:rsid w:val="09613A59"/>
    <w:rsid w:val="09775BD7"/>
    <w:rsid w:val="0981781E"/>
    <w:rsid w:val="09A243BA"/>
    <w:rsid w:val="09AC0406"/>
    <w:rsid w:val="09CE5CA0"/>
    <w:rsid w:val="09E50E13"/>
    <w:rsid w:val="0A1D7EE8"/>
    <w:rsid w:val="0A291C2A"/>
    <w:rsid w:val="0A5D57D4"/>
    <w:rsid w:val="0A664C34"/>
    <w:rsid w:val="0A8271F6"/>
    <w:rsid w:val="0AD3339F"/>
    <w:rsid w:val="0B177576"/>
    <w:rsid w:val="0B342892"/>
    <w:rsid w:val="0B3A1D6D"/>
    <w:rsid w:val="0B585D60"/>
    <w:rsid w:val="0B6E0A70"/>
    <w:rsid w:val="0B8B130A"/>
    <w:rsid w:val="0BAD0B39"/>
    <w:rsid w:val="0BAF0641"/>
    <w:rsid w:val="0BC751FA"/>
    <w:rsid w:val="0C24643D"/>
    <w:rsid w:val="0C31473E"/>
    <w:rsid w:val="0C6A58DD"/>
    <w:rsid w:val="0CC118E6"/>
    <w:rsid w:val="0CE3780C"/>
    <w:rsid w:val="0D03432A"/>
    <w:rsid w:val="0D051387"/>
    <w:rsid w:val="0D2F2966"/>
    <w:rsid w:val="0D437D77"/>
    <w:rsid w:val="0D8A4460"/>
    <w:rsid w:val="0DCE5625"/>
    <w:rsid w:val="0DD34DC7"/>
    <w:rsid w:val="0E55646F"/>
    <w:rsid w:val="0E6E431A"/>
    <w:rsid w:val="0EB7736E"/>
    <w:rsid w:val="0EC0026C"/>
    <w:rsid w:val="0ECC0F75"/>
    <w:rsid w:val="0ED90783"/>
    <w:rsid w:val="0F0011EC"/>
    <w:rsid w:val="0F0B3493"/>
    <w:rsid w:val="0F133880"/>
    <w:rsid w:val="0F3C598B"/>
    <w:rsid w:val="0F3F5652"/>
    <w:rsid w:val="0F6069AE"/>
    <w:rsid w:val="0FDE06F1"/>
    <w:rsid w:val="100D4FF9"/>
    <w:rsid w:val="10220DEB"/>
    <w:rsid w:val="106F1C51"/>
    <w:rsid w:val="10E46DDB"/>
    <w:rsid w:val="11040304"/>
    <w:rsid w:val="117524C5"/>
    <w:rsid w:val="117E0CC2"/>
    <w:rsid w:val="11E618ED"/>
    <w:rsid w:val="121C5B07"/>
    <w:rsid w:val="125E68F6"/>
    <w:rsid w:val="12AF2B1F"/>
    <w:rsid w:val="12BC03B8"/>
    <w:rsid w:val="12F55078"/>
    <w:rsid w:val="13084AAE"/>
    <w:rsid w:val="136115C3"/>
    <w:rsid w:val="137041DE"/>
    <w:rsid w:val="138D561A"/>
    <w:rsid w:val="139242B7"/>
    <w:rsid w:val="13B35B5E"/>
    <w:rsid w:val="140269CA"/>
    <w:rsid w:val="14102E64"/>
    <w:rsid w:val="141250A2"/>
    <w:rsid w:val="144B6AE7"/>
    <w:rsid w:val="148738A5"/>
    <w:rsid w:val="14943F81"/>
    <w:rsid w:val="14984878"/>
    <w:rsid w:val="14C0052B"/>
    <w:rsid w:val="14E31A8E"/>
    <w:rsid w:val="14EA08AA"/>
    <w:rsid w:val="14F22B50"/>
    <w:rsid w:val="15012377"/>
    <w:rsid w:val="1532499E"/>
    <w:rsid w:val="15686F4A"/>
    <w:rsid w:val="158B7A71"/>
    <w:rsid w:val="15A84021"/>
    <w:rsid w:val="15B24923"/>
    <w:rsid w:val="15B44798"/>
    <w:rsid w:val="15B80016"/>
    <w:rsid w:val="15D9727A"/>
    <w:rsid w:val="15F84A22"/>
    <w:rsid w:val="1605100F"/>
    <w:rsid w:val="163573DF"/>
    <w:rsid w:val="16674443"/>
    <w:rsid w:val="16D77676"/>
    <w:rsid w:val="16E01E69"/>
    <w:rsid w:val="16FC238F"/>
    <w:rsid w:val="17235D63"/>
    <w:rsid w:val="1743321C"/>
    <w:rsid w:val="177739A4"/>
    <w:rsid w:val="17B15E64"/>
    <w:rsid w:val="17BD39D5"/>
    <w:rsid w:val="17C51950"/>
    <w:rsid w:val="18011118"/>
    <w:rsid w:val="180241F5"/>
    <w:rsid w:val="18245502"/>
    <w:rsid w:val="18697A43"/>
    <w:rsid w:val="18752C58"/>
    <w:rsid w:val="188105A8"/>
    <w:rsid w:val="193151F0"/>
    <w:rsid w:val="19D33C89"/>
    <w:rsid w:val="1A1C1326"/>
    <w:rsid w:val="1A4B2A55"/>
    <w:rsid w:val="1A7B66B3"/>
    <w:rsid w:val="1A9169B3"/>
    <w:rsid w:val="1AFC2E42"/>
    <w:rsid w:val="1B49260C"/>
    <w:rsid w:val="1B551198"/>
    <w:rsid w:val="1B6F72C2"/>
    <w:rsid w:val="1BBB2515"/>
    <w:rsid w:val="1BC26534"/>
    <w:rsid w:val="1BE3133D"/>
    <w:rsid w:val="1C0A7966"/>
    <w:rsid w:val="1C707044"/>
    <w:rsid w:val="1C9024E9"/>
    <w:rsid w:val="1C9767CC"/>
    <w:rsid w:val="1C99273C"/>
    <w:rsid w:val="1CC430A9"/>
    <w:rsid w:val="1CFF0DE0"/>
    <w:rsid w:val="1D1037E2"/>
    <w:rsid w:val="1D380949"/>
    <w:rsid w:val="1D8B4A5B"/>
    <w:rsid w:val="1E11485D"/>
    <w:rsid w:val="1E30710C"/>
    <w:rsid w:val="1E4F776E"/>
    <w:rsid w:val="1E8A383E"/>
    <w:rsid w:val="1E92464C"/>
    <w:rsid w:val="1EB3378E"/>
    <w:rsid w:val="1EC22AE4"/>
    <w:rsid w:val="1EE30961"/>
    <w:rsid w:val="1EEF561B"/>
    <w:rsid w:val="1EFF2DBD"/>
    <w:rsid w:val="1F1D122A"/>
    <w:rsid w:val="1F354FB4"/>
    <w:rsid w:val="1F4A4FAF"/>
    <w:rsid w:val="1F7B08BC"/>
    <w:rsid w:val="1F88200E"/>
    <w:rsid w:val="1FAF0DA2"/>
    <w:rsid w:val="1FBA0CD7"/>
    <w:rsid w:val="1FCE69AC"/>
    <w:rsid w:val="2079105C"/>
    <w:rsid w:val="208936CB"/>
    <w:rsid w:val="209E76EF"/>
    <w:rsid w:val="20E541F8"/>
    <w:rsid w:val="21634D2F"/>
    <w:rsid w:val="216B4E05"/>
    <w:rsid w:val="216D6F97"/>
    <w:rsid w:val="217A658C"/>
    <w:rsid w:val="21951255"/>
    <w:rsid w:val="21D43B13"/>
    <w:rsid w:val="21F03C19"/>
    <w:rsid w:val="2244665C"/>
    <w:rsid w:val="22975663"/>
    <w:rsid w:val="22C773CE"/>
    <w:rsid w:val="22D00B69"/>
    <w:rsid w:val="22DE5B60"/>
    <w:rsid w:val="22F12F69"/>
    <w:rsid w:val="2378422F"/>
    <w:rsid w:val="239926C7"/>
    <w:rsid w:val="240B297E"/>
    <w:rsid w:val="241D18A7"/>
    <w:rsid w:val="244240DF"/>
    <w:rsid w:val="24445FDB"/>
    <w:rsid w:val="24B24C27"/>
    <w:rsid w:val="24B41F0C"/>
    <w:rsid w:val="24E10A3D"/>
    <w:rsid w:val="255514F7"/>
    <w:rsid w:val="25A21F4C"/>
    <w:rsid w:val="26245D17"/>
    <w:rsid w:val="2662634E"/>
    <w:rsid w:val="26E621DD"/>
    <w:rsid w:val="271528ED"/>
    <w:rsid w:val="276711A3"/>
    <w:rsid w:val="279C2277"/>
    <w:rsid w:val="27BC0449"/>
    <w:rsid w:val="27E77103"/>
    <w:rsid w:val="28070FE0"/>
    <w:rsid w:val="28595F01"/>
    <w:rsid w:val="289D6C63"/>
    <w:rsid w:val="28A0434F"/>
    <w:rsid w:val="28FF536C"/>
    <w:rsid w:val="290D4D84"/>
    <w:rsid w:val="293521B2"/>
    <w:rsid w:val="294D33AE"/>
    <w:rsid w:val="295E59A7"/>
    <w:rsid w:val="295E62B2"/>
    <w:rsid w:val="297E126D"/>
    <w:rsid w:val="299B0125"/>
    <w:rsid w:val="299E0602"/>
    <w:rsid w:val="29C659F3"/>
    <w:rsid w:val="2A0450F5"/>
    <w:rsid w:val="2A6E3F0D"/>
    <w:rsid w:val="2A7E75F0"/>
    <w:rsid w:val="2A9F2D23"/>
    <w:rsid w:val="2AC8056D"/>
    <w:rsid w:val="2B042A23"/>
    <w:rsid w:val="2B1148E4"/>
    <w:rsid w:val="2B92233F"/>
    <w:rsid w:val="2B987AA5"/>
    <w:rsid w:val="2B9E751B"/>
    <w:rsid w:val="2C12094D"/>
    <w:rsid w:val="2C3D6615"/>
    <w:rsid w:val="2C725E2A"/>
    <w:rsid w:val="2CD800F1"/>
    <w:rsid w:val="2D310A6B"/>
    <w:rsid w:val="2D852F2B"/>
    <w:rsid w:val="2D984C20"/>
    <w:rsid w:val="2DCD4A0D"/>
    <w:rsid w:val="2DFF2CFE"/>
    <w:rsid w:val="2E0C56CA"/>
    <w:rsid w:val="2EAD09B9"/>
    <w:rsid w:val="2F1E72E8"/>
    <w:rsid w:val="2F562D49"/>
    <w:rsid w:val="2FD217B3"/>
    <w:rsid w:val="305C3D57"/>
    <w:rsid w:val="307C55A0"/>
    <w:rsid w:val="30BA59F6"/>
    <w:rsid w:val="30DE4DE0"/>
    <w:rsid w:val="30F210B0"/>
    <w:rsid w:val="310900D1"/>
    <w:rsid w:val="310F0400"/>
    <w:rsid w:val="311669F3"/>
    <w:rsid w:val="31491930"/>
    <w:rsid w:val="31543701"/>
    <w:rsid w:val="319A016C"/>
    <w:rsid w:val="31B740D8"/>
    <w:rsid w:val="31F419C5"/>
    <w:rsid w:val="32480F4C"/>
    <w:rsid w:val="326617A7"/>
    <w:rsid w:val="32C367E2"/>
    <w:rsid w:val="32D16EB8"/>
    <w:rsid w:val="32E8382F"/>
    <w:rsid w:val="32EA4C36"/>
    <w:rsid w:val="33005604"/>
    <w:rsid w:val="330637D9"/>
    <w:rsid w:val="33137F4C"/>
    <w:rsid w:val="33263397"/>
    <w:rsid w:val="332C5755"/>
    <w:rsid w:val="33326A04"/>
    <w:rsid w:val="33611885"/>
    <w:rsid w:val="33786667"/>
    <w:rsid w:val="33D36CC0"/>
    <w:rsid w:val="33F501A6"/>
    <w:rsid w:val="340753D7"/>
    <w:rsid w:val="34210027"/>
    <w:rsid w:val="346A264F"/>
    <w:rsid w:val="34BE65C1"/>
    <w:rsid w:val="34DF6411"/>
    <w:rsid w:val="34F92098"/>
    <w:rsid w:val="34FD487A"/>
    <w:rsid w:val="350D58F3"/>
    <w:rsid w:val="35252B55"/>
    <w:rsid w:val="3533579D"/>
    <w:rsid w:val="354537CD"/>
    <w:rsid w:val="35964D76"/>
    <w:rsid w:val="35BA553C"/>
    <w:rsid w:val="35EE2D4E"/>
    <w:rsid w:val="35F132ED"/>
    <w:rsid w:val="35F470D0"/>
    <w:rsid w:val="362E0542"/>
    <w:rsid w:val="36560DB6"/>
    <w:rsid w:val="36656B3C"/>
    <w:rsid w:val="36926E16"/>
    <w:rsid w:val="36B14546"/>
    <w:rsid w:val="36CD5CEC"/>
    <w:rsid w:val="37233692"/>
    <w:rsid w:val="3738353F"/>
    <w:rsid w:val="378D6283"/>
    <w:rsid w:val="37A94C33"/>
    <w:rsid w:val="37B9171C"/>
    <w:rsid w:val="37D8705B"/>
    <w:rsid w:val="37DE2A6E"/>
    <w:rsid w:val="37FA61D8"/>
    <w:rsid w:val="38503C2F"/>
    <w:rsid w:val="38645B57"/>
    <w:rsid w:val="38662D76"/>
    <w:rsid w:val="38A25069"/>
    <w:rsid w:val="38BB6073"/>
    <w:rsid w:val="38FA48C1"/>
    <w:rsid w:val="390E0F1D"/>
    <w:rsid w:val="394E71B6"/>
    <w:rsid w:val="395D7BDC"/>
    <w:rsid w:val="397C2FF5"/>
    <w:rsid w:val="39952BAB"/>
    <w:rsid w:val="39970148"/>
    <w:rsid w:val="39EB26C3"/>
    <w:rsid w:val="39FD363A"/>
    <w:rsid w:val="39FF0912"/>
    <w:rsid w:val="3A094C9C"/>
    <w:rsid w:val="3A907356"/>
    <w:rsid w:val="3AA958C2"/>
    <w:rsid w:val="3AB103E9"/>
    <w:rsid w:val="3B5D0643"/>
    <w:rsid w:val="3B6C4010"/>
    <w:rsid w:val="3B7C64AB"/>
    <w:rsid w:val="3BFA1113"/>
    <w:rsid w:val="3BFA1EC3"/>
    <w:rsid w:val="3C3F0B70"/>
    <w:rsid w:val="3C9415A7"/>
    <w:rsid w:val="3CE32274"/>
    <w:rsid w:val="3CEA6FAD"/>
    <w:rsid w:val="3CFA5319"/>
    <w:rsid w:val="3CFA5FB9"/>
    <w:rsid w:val="3CFE0559"/>
    <w:rsid w:val="3D6669C8"/>
    <w:rsid w:val="3DBC3B46"/>
    <w:rsid w:val="3E184799"/>
    <w:rsid w:val="3E1F0CBD"/>
    <w:rsid w:val="3E5236E1"/>
    <w:rsid w:val="3E8A5390"/>
    <w:rsid w:val="3EBA0E52"/>
    <w:rsid w:val="3EE65E48"/>
    <w:rsid w:val="3F06189A"/>
    <w:rsid w:val="3F095805"/>
    <w:rsid w:val="3F177962"/>
    <w:rsid w:val="3F4252F5"/>
    <w:rsid w:val="4002658A"/>
    <w:rsid w:val="40057E95"/>
    <w:rsid w:val="402D1EB2"/>
    <w:rsid w:val="40327BB7"/>
    <w:rsid w:val="40532DC6"/>
    <w:rsid w:val="40567BDF"/>
    <w:rsid w:val="41037D2E"/>
    <w:rsid w:val="410F52EA"/>
    <w:rsid w:val="411E0633"/>
    <w:rsid w:val="413F6BDF"/>
    <w:rsid w:val="4157070F"/>
    <w:rsid w:val="415A0B4A"/>
    <w:rsid w:val="418744B2"/>
    <w:rsid w:val="418F41C5"/>
    <w:rsid w:val="41DF09AE"/>
    <w:rsid w:val="42164AE5"/>
    <w:rsid w:val="42475F4A"/>
    <w:rsid w:val="4267112B"/>
    <w:rsid w:val="42895A4F"/>
    <w:rsid w:val="42EC4586"/>
    <w:rsid w:val="42FD393B"/>
    <w:rsid w:val="433947D3"/>
    <w:rsid w:val="43553FAA"/>
    <w:rsid w:val="435C37DB"/>
    <w:rsid w:val="437036C3"/>
    <w:rsid w:val="438331D0"/>
    <w:rsid w:val="43E62B79"/>
    <w:rsid w:val="43F55BEA"/>
    <w:rsid w:val="441F009D"/>
    <w:rsid w:val="441F2D41"/>
    <w:rsid w:val="446066E0"/>
    <w:rsid w:val="44C35D23"/>
    <w:rsid w:val="44DB5482"/>
    <w:rsid w:val="44FE415F"/>
    <w:rsid w:val="45075D7F"/>
    <w:rsid w:val="45142F85"/>
    <w:rsid w:val="453C6807"/>
    <w:rsid w:val="457834AD"/>
    <w:rsid w:val="457E7F2D"/>
    <w:rsid w:val="45F43E7C"/>
    <w:rsid w:val="46074DA0"/>
    <w:rsid w:val="463302F1"/>
    <w:rsid w:val="463E5257"/>
    <w:rsid w:val="466A6714"/>
    <w:rsid w:val="469867B7"/>
    <w:rsid w:val="46E25639"/>
    <w:rsid w:val="470D7C26"/>
    <w:rsid w:val="47685B38"/>
    <w:rsid w:val="476B5003"/>
    <w:rsid w:val="4775055B"/>
    <w:rsid w:val="47F50B76"/>
    <w:rsid w:val="47F51EF0"/>
    <w:rsid w:val="48471899"/>
    <w:rsid w:val="489B2672"/>
    <w:rsid w:val="48BC3239"/>
    <w:rsid w:val="49067859"/>
    <w:rsid w:val="492B50F1"/>
    <w:rsid w:val="495E798B"/>
    <w:rsid w:val="49640235"/>
    <w:rsid w:val="49800A68"/>
    <w:rsid w:val="4A0D13DF"/>
    <w:rsid w:val="4A1F4124"/>
    <w:rsid w:val="4A1F7A9B"/>
    <w:rsid w:val="4A2C0678"/>
    <w:rsid w:val="4A4B176D"/>
    <w:rsid w:val="4AB22A79"/>
    <w:rsid w:val="4ADA1BF4"/>
    <w:rsid w:val="4B6D1406"/>
    <w:rsid w:val="4BB53ADE"/>
    <w:rsid w:val="4C136E98"/>
    <w:rsid w:val="4C5260BA"/>
    <w:rsid w:val="4C7C3ACF"/>
    <w:rsid w:val="4CC34737"/>
    <w:rsid w:val="4CC34D08"/>
    <w:rsid w:val="4D6F56C4"/>
    <w:rsid w:val="4D801FDE"/>
    <w:rsid w:val="4E03680E"/>
    <w:rsid w:val="4E1E4EA1"/>
    <w:rsid w:val="4EBF5F0A"/>
    <w:rsid w:val="4EFF29A8"/>
    <w:rsid w:val="4F28754C"/>
    <w:rsid w:val="4FD56937"/>
    <w:rsid w:val="4FF45520"/>
    <w:rsid w:val="503C2B90"/>
    <w:rsid w:val="505D083D"/>
    <w:rsid w:val="50835FA3"/>
    <w:rsid w:val="50B6253C"/>
    <w:rsid w:val="50F75800"/>
    <w:rsid w:val="51486BF6"/>
    <w:rsid w:val="51936DF0"/>
    <w:rsid w:val="51C40279"/>
    <w:rsid w:val="51CF78D6"/>
    <w:rsid w:val="521D23B2"/>
    <w:rsid w:val="522607FA"/>
    <w:rsid w:val="52415716"/>
    <w:rsid w:val="52FF3240"/>
    <w:rsid w:val="53660038"/>
    <w:rsid w:val="5387638A"/>
    <w:rsid w:val="53A26E4D"/>
    <w:rsid w:val="54101731"/>
    <w:rsid w:val="54361819"/>
    <w:rsid w:val="54504ADA"/>
    <w:rsid w:val="54653D74"/>
    <w:rsid w:val="54973D5B"/>
    <w:rsid w:val="54B32A80"/>
    <w:rsid w:val="54BD678B"/>
    <w:rsid w:val="55326DFA"/>
    <w:rsid w:val="55534FB1"/>
    <w:rsid w:val="55AA2C10"/>
    <w:rsid w:val="55FB586E"/>
    <w:rsid w:val="56150D48"/>
    <w:rsid w:val="565350BF"/>
    <w:rsid w:val="56962B33"/>
    <w:rsid w:val="56C224A6"/>
    <w:rsid w:val="56D31454"/>
    <w:rsid w:val="56FB3794"/>
    <w:rsid w:val="572E2FD7"/>
    <w:rsid w:val="57512C0C"/>
    <w:rsid w:val="578D7D93"/>
    <w:rsid w:val="57E24C5B"/>
    <w:rsid w:val="57F211F4"/>
    <w:rsid w:val="580019AB"/>
    <w:rsid w:val="580D4A0F"/>
    <w:rsid w:val="581C4D61"/>
    <w:rsid w:val="58212D59"/>
    <w:rsid w:val="588C04C9"/>
    <w:rsid w:val="58D857C1"/>
    <w:rsid w:val="58E679F8"/>
    <w:rsid w:val="58FB72F3"/>
    <w:rsid w:val="59162664"/>
    <w:rsid w:val="59171BFF"/>
    <w:rsid w:val="59975C1B"/>
    <w:rsid w:val="59A47553"/>
    <w:rsid w:val="59AE3AF3"/>
    <w:rsid w:val="59C35F0C"/>
    <w:rsid w:val="59C561D2"/>
    <w:rsid w:val="59CB2F20"/>
    <w:rsid w:val="59E17A9A"/>
    <w:rsid w:val="5A1D047D"/>
    <w:rsid w:val="5A237BF3"/>
    <w:rsid w:val="5A430E50"/>
    <w:rsid w:val="5A4C1860"/>
    <w:rsid w:val="5A820021"/>
    <w:rsid w:val="5A84115A"/>
    <w:rsid w:val="5ADB6718"/>
    <w:rsid w:val="5AE17920"/>
    <w:rsid w:val="5AE47C25"/>
    <w:rsid w:val="5B1356D3"/>
    <w:rsid w:val="5B217B36"/>
    <w:rsid w:val="5B62514F"/>
    <w:rsid w:val="5B661970"/>
    <w:rsid w:val="5BF0439B"/>
    <w:rsid w:val="5C1D317F"/>
    <w:rsid w:val="5C326049"/>
    <w:rsid w:val="5C5A765F"/>
    <w:rsid w:val="5CE109B7"/>
    <w:rsid w:val="5D2609FF"/>
    <w:rsid w:val="5D5B62CF"/>
    <w:rsid w:val="5D7B790B"/>
    <w:rsid w:val="5D840934"/>
    <w:rsid w:val="5E0B2079"/>
    <w:rsid w:val="5EAE7931"/>
    <w:rsid w:val="5ED50CDA"/>
    <w:rsid w:val="5F0F6899"/>
    <w:rsid w:val="5F7804FD"/>
    <w:rsid w:val="5F9D0D57"/>
    <w:rsid w:val="5FC9239F"/>
    <w:rsid w:val="600546E2"/>
    <w:rsid w:val="602011FE"/>
    <w:rsid w:val="606E452B"/>
    <w:rsid w:val="606F1035"/>
    <w:rsid w:val="60DB3CD0"/>
    <w:rsid w:val="60F47071"/>
    <w:rsid w:val="61402FF1"/>
    <w:rsid w:val="6152222D"/>
    <w:rsid w:val="617B2472"/>
    <w:rsid w:val="61B35F77"/>
    <w:rsid w:val="61D4480A"/>
    <w:rsid w:val="61F31BA7"/>
    <w:rsid w:val="6207478A"/>
    <w:rsid w:val="62644B91"/>
    <w:rsid w:val="62661F45"/>
    <w:rsid w:val="62D33DA8"/>
    <w:rsid w:val="62D53BB6"/>
    <w:rsid w:val="62EF0B4D"/>
    <w:rsid w:val="62F3056E"/>
    <w:rsid w:val="630E46C9"/>
    <w:rsid w:val="630E7F87"/>
    <w:rsid w:val="63BD206F"/>
    <w:rsid w:val="63EE48AE"/>
    <w:rsid w:val="63F36C74"/>
    <w:rsid w:val="64627DD8"/>
    <w:rsid w:val="64B75A33"/>
    <w:rsid w:val="65130B7C"/>
    <w:rsid w:val="65192884"/>
    <w:rsid w:val="652E6A2F"/>
    <w:rsid w:val="653A42FA"/>
    <w:rsid w:val="662E3876"/>
    <w:rsid w:val="663E6D49"/>
    <w:rsid w:val="66592C10"/>
    <w:rsid w:val="667239B8"/>
    <w:rsid w:val="66931588"/>
    <w:rsid w:val="66AA0D44"/>
    <w:rsid w:val="66CB667D"/>
    <w:rsid w:val="66D27D0A"/>
    <w:rsid w:val="66E77424"/>
    <w:rsid w:val="674F0187"/>
    <w:rsid w:val="675C2A7B"/>
    <w:rsid w:val="676A3D64"/>
    <w:rsid w:val="67743823"/>
    <w:rsid w:val="678355A8"/>
    <w:rsid w:val="67923A05"/>
    <w:rsid w:val="67EF2BAC"/>
    <w:rsid w:val="68171BDE"/>
    <w:rsid w:val="68533CE4"/>
    <w:rsid w:val="685B1A07"/>
    <w:rsid w:val="68613BEC"/>
    <w:rsid w:val="6910717B"/>
    <w:rsid w:val="6927669F"/>
    <w:rsid w:val="692E2867"/>
    <w:rsid w:val="69470DA2"/>
    <w:rsid w:val="694D7D30"/>
    <w:rsid w:val="69725004"/>
    <w:rsid w:val="69B32976"/>
    <w:rsid w:val="69E0552D"/>
    <w:rsid w:val="6A0F2C76"/>
    <w:rsid w:val="6A7825AE"/>
    <w:rsid w:val="6A8120B6"/>
    <w:rsid w:val="6AA55185"/>
    <w:rsid w:val="6AF72E46"/>
    <w:rsid w:val="6B3670E4"/>
    <w:rsid w:val="6B7011DE"/>
    <w:rsid w:val="6BB83F2B"/>
    <w:rsid w:val="6BC1643D"/>
    <w:rsid w:val="6C026813"/>
    <w:rsid w:val="6C192187"/>
    <w:rsid w:val="6C6B6E08"/>
    <w:rsid w:val="6C847A7A"/>
    <w:rsid w:val="6CA53A4D"/>
    <w:rsid w:val="6CAF4ED9"/>
    <w:rsid w:val="6CBD7BD6"/>
    <w:rsid w:val="6CBE3A24"/>
    <w:rsid w:val="6D5A130E"/>
    <w:rsid w:val="6D7019F8"/>
    <w:rsid w:val="6DA75942"/>
    <w:rsid w:val="6DB071FE"/>
    <w:rsid w:val="6DB76F88"/>
    <w:rsid w:val="6DF85BE1"/>
    <w:rsid w:val="6E844EB3"/>
    <w:rsid w:val="6E971F03"/>
    <w:rsid w:val="6EC209F3"/>
    <w:rsid w:val="6F055AEA"/>
    <w:rsid w:val="6F5B18C5"/>
    <w:rsid w:val="6F7E313A"/>
    <w:rsid w:val="6FE45A33"/>
    <w:rsid w:val="70163E8E"/>
    <w:rsid w:val="71197AED"/>
    <w:rsid w:val="71A66530"/>
    <w:rsid w:val="71A80DA9"/>
    <w:rsid w:val="72450182"/>
    <w:rsid w:val="72905B5A"/>
    <w:rsid w:val="72AF58FE"/>
    <w:rsid w:val="72B90CF3"/>
    <w:rsid w:val="72BA682B"/>
    <w:rsid w:val="72E41A6D"/>
    <w:rsid w:val="72E50B52"/>
    <w:rsid w:val="735970D4"/>
    <w:rsid w:val="73671101"/>
    <w:rsid w:val="73BD2B0C"/>
    <w:rsid w:val="74CD5968"/>
    <w:rsid w:val="75055B4D"/>
    <w:rsid w:val="754E29B5"/>
    <w:rsid w:val="756837FE"/>
    <w:rsid w:val="75943087"/>
    <w:rsid w:val="75CC5B9E"/>
    <w:rsid w:val="75D62ACA"/>
    <w:rsid w:val="75E11C5D"/>
    <w:rsid w:val="75FA416D"/>
    <w:rsid w:val="75FE0CE1"/>
    <w:rsid w:val="76486294"/>
    <w:rsid w:val="76526E75"/>
    <w:rsid w:val="76D2287F"/>
    <w:rsid w:val="76FC2A5B"/>
    <w:rsid w:val="770D59B6"/>
    <w:rsid w:val="774F19C0"/>
    <w:rsid w:val="77523F6C"/>
    <w:rsid w:val="775249D6"/>
    <w:rsid w:val="7755521C"/>
    <w:rsid w:val="7795746D"/>
    <w:rsid w:val="77B83F59"/>
    <w:rsid w:val="77E35AC2"/>
    <w:rsid w:val="78272228"/>
    <w:rsid w:val="784242D0"/>
    <w:rsid w:val="78500404"/>
    <w:rsid w:val="78637355"/>
    <w:rsid w:val="78953EB8"/>
    <w:rsid w:val="7956503F"/>
    <w:rsid w:val="7969114C"/>
    <w:rsid w:val="797A0233"/>
    <w:rsid w:val="79AC3FCE"/>
    <w:rsid w:val="79B0214A"/>
    <w:rsid w:val="79BD448A"/>
    <w:rsid w:val="79D71C60"/>
    <w:rsid w:val="7A070B03"/>
    <w:rsid w:val="7A0F10CD"/>
    <w:rsid w:val="7B2D0BD3"/>
    <w:rsid w:val="7B311004"/>
    <w:rsid w:val="7B903577"/>
    <w:rsid w:val="7B92295E"/>
    <w:rsid w:val="7BD8441C"/>
    <w:rsid w:val="7C0B5C69"/>
    <w:rsid w:val="7CDA4E9E"/>
    <w:rsid w:val="7CF01153"/>
    <w:rsid w:val="7D610AA4"/>
    <w:rsid w:val="7DCE67FF"/>
    <w:rsid w:val="7E0E054A"/>
    <w:rsid w:val="7E314118"/>
    <w:rsid w:val="7E316B1F"/>
    <w:rsid w:val="7E522716"/>
    <w:rsid w:val="7E6E0FDA"/>
    <w:rsid w:val="7E9458C8"/>
    <w:rsid w:val="7F0D55EA"/>
    <w:rsid w:val="7F365326"/>
    <w:rsid w:val="7FEA0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0">
    <w:name w:val="Default Paragraph Font"/>
    <w:qFormat/>
    <w:uiPriority w:val="1"/>
  </w:style>
  <w:style w:type="table" w:default="1" w:styleId="9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99"/>
    <w:pPr>
      <w:jc w:val="left"/>
    </w:pPr>
  </w:style>
  <w:style w:type="paragraph" w:styleId="4">
    <w:name w:val="Date"/>
    <w:basedOn w:val="1"/>
    <w:next w:val="1"/>
    <w:link w:val="20"/>
    <w:qFormat/>
    <w:uiPriority w:val="99"/>
    <w:pPr>
      <w:ind w:left="100" w:leftChars="2500"/>
    </w:pPr>
  </w:style>
  <w:style w:type="paragraph" w:styleId="5">
    <w:name w:val="Balloon Text"/>
    <w:basedOn w:val="1"/>
    <w:link w:val="21"/>
    <w:qFormat/>
    <w:uiPriority w:val="99"/>
    <w:rPr>
      <w:sz w:val="18"/>
      <w:szCs w:val="18"/>
    </w:rPr>
  </w:style>
  <w:style w:type="paragraph" w:styleId="6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Emphasis"/>
    <w:basedOn w:val="10"/>
    <w:qFormat/>
    <w:uiPriority w:val="20"/>
    <w:rPr>
      <w:i/>
      <w:iCs/>
    </w:rPr>
  </w:style>
  <w:style w:type="character" w:styleId="13">
    <w:name w:val="Hyperlink"/>
    <w:basedOn w:val="10"/>
    <w:qFormat/>
    <w:uiPriority w:val="99"/>
    <w:rPr>
      <w:color w:val="0000FF"/>
      <w:u w:val="single"/>
    </w:rPr>
  </w:style>
  <w:style w:type="character" w:styleId="14">
    <w:name w:val="annotation reference"/>
    <w:basedOn w:val="10"/>
    <w:qFormat/>
    <w:uiPriority w:val="99"/>
    <w:rPr>
      <w:sz w:val="21"/>
      <w:szCs w:val="21"/>
    </w:rPr>
  </w:style>
  <w:style w:type="character" w:customStyle="1" w:styleId="15">
    <w:name w:val="标题 1 Char"/>
    <w:basedOn w:val="10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6">
    <w:name w:val="页眉 Char"/>
    <w:basedOn w:val="10"/>
    <w:link w:val="7"/>
    <w:qFormat/>
    <w:uiPriority w:val="99"/>
    <w:rPr>
      <w:sz w:val="18"/>
      <w:szCs w:val="18"/>
    </w:rPr>
  </w:style>
  <w:style w:type="character" w:customStyle="1" w:styleId="17">
    <w:name w:val="页脚 Char"/>
    <w:basedOn w:val="10"/>
    <w:link w:val="6"/>
    <w:qFormat/>
    <w:uiPriority w:val="99"/>
    <w:rPr>
      <w:sz w:val="18"/>
      <w:szCs w:val="18"/>
    </w:rPr>
  </w:style>
  <w:style w:type="paragraph" w:styleId="18">
    <w:name w:val="List Paragraph"/>
    <w:basedOn w:val="1"/>
    <w:qFormat/>
    <w:uiPriority w:val="99"/>
    <w:pPr>
      <w:ind w:firstLine="420" w:firstLineChars="200"/>
    </w:pPr>
  </w:style>
  <w:style w:type="character" w:customStyle="1" w:styleId="19">
    <w:name w:val="apple-converted-space"/>
    <w:basedOn w:val="10"/>
    <w:qFormat/>
    <w:uiPriority w:val="0"/>
  </w:style>
  <w:style w:type="character" w:customStyle="1" w:styleId="20">
    <w:name w:val="日期 Char"/>
    <w:basedOn w:val="10"/>
    <w:link w:val="4"/>
    <w:qFormat/>
    <w:uiPriority w:val="99"/>
    <w:rPr>
      <w:rFonts w:ascii="Calibri" w:hAnsi="Calibri" w:eastAsia="宋体" w:cs="宋体"/>
      <w:kern w:val="2"/>
      <w:sz w:val="21"/>
      <w:szCs w:val="22"/>
    </w:rPr>
  </w:style>
  <w:style w:type="character" w:customStyle="1" w:styleId="21">
    <w:name w:val="批注框文本 Char"/>
    <w:basedOn w:val="10"/>
    <w:link w:val="5"/>
    <w:qFormat/>
    <w:uiPriority w:val="99"/>
    <w:rPr>
      <w:rFonts w:ascii="Calibri" w:hAnsi="Calibri" w:eastAsia="宋体" w:cs="宋体"/>
      <w:kern w:val="2"/>
      <w:sz w:val="18"/>
      <w:szCs w:val="18"/>
    </w:rPr>
  </w:style>
  <w:style w:type="character" w:customStyle="1" w:styleId="22">
    <w:name w:val="font21"/>
    <w:basedOn w:val="10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  <w:style w:type="character" w:customStyle="1" w:styleId="23">
    <w:name w:val="font11"/>
    <w:basedOn w:val="10"/>
    <w:qFormat/>
    <w:uiPriority w:val="0"/>
    <w:rPr>
      <w:rFonts w:hint="eastAsia" w:ascii="宋体" w:hAnsi="宋体" w:eastAsia="宋体" w:cs="宋体"/>
      <w:b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chart" Target="charts/chart2.xml"/><Relationship Id="rId6" Type="http://schemas.openxmlformats.org/officeDocument/2006/relationships/chart" Target="charts/chart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oleObject" Target="embeddings/oleObject1.bin"/></Relationships>
</file>

<file path=word/charts/_rels/chart1.xml.rels><?xml version="1.0" encoding="UTF-8" standalone="yes"?>
<Relationships xmlns="http://schemas.openxmlformats.org/package/2006/relationships"><Relationship Id="rId4" Type="http://schemas.microsoft.com/office/2011/relationships/chartColorStyle" Target="colors1.xml"/><Relationship Id="rId3" Type="http://schemas.microsoft.com/office/2011/relationships/chartStyle" Target="style1.xml"/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&#28145;&#25151;&#20013;&#21327;&#21608;&#34893;&#27743;\Desktop\20200721&#26032;&#25919;&#20998;&#26512;\&#20998;&#26512;&#25968;&#25454;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D:\&#26085;&#24120;&#21150;&#20844;&#25991;&#20214;\&#30740;&#31350;&#37096;\&#19994;&#21153;&#26376;&#25253;&#25968;&#25454;&#20998;&#26512;\2020\202006\6&#26376;&#22270;&#34920;&#25968;&#25454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CN" b="1">
                <a:solidFill>
                  <a:schemeClr val="tx1"/>
                </a:solidFill>
              </a:rPr>
              <a:t>7.15</a:t>
            </a:r>
            <a:r>
              <a:rPr altLang="en-US" b="1">
                <a:solidFill>
                  <a:schemeClr val="tx1"/>
                </a:solidFill>
              </a:rPr>
              <a:t>新政实施前后</a:t>
            </a:r>
            <a:r>
              <a:rPr b="1">
                <a:solidFill>
                  <a:schemeClr val="tx1"/>
                </a:solidFill>
              </a:rPr>
              <a:t>二手房网签走势</a:t>
            </a:r>
            <a:endParaRPr b="1">
              <a:solidFill>
                <a:schemeClr val="tx1"/>
              </a:solidFill>
            </a:endParaRPr>
          </a:p>
        </c:rich>
      </c:tx>
      <c:layout>
        <c:manualLayout>
          <c:xMode val="edge"/>
          <c:yMode val="edge"/>
          <c:x val="0.228333333333333"/>
          <c:y val="0.0243055555555556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[分析数据.xlsx]Sheet1!$C$50</c:f>
              <c:strCache>
                <c:ptCount val="1"/>
                <c:pt idx="0">
                  <c:v>二手房网签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/>
            </c:spPr>
          </c:dPt>
          <c:dPt>
            <c:idx val="1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/>
            </c:spPr>
          </c:dPt>
          <c:dPt>
            <c:idx val="2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/>
            </c:spPr>
          </c:dPt>
          <c:dPt>
            <c:idx val="3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/>
            </c:spPr>
          </c:dPt>
          <c:dPt>
            <c:idx val="4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/>
            </c:spPr>
          </c:dPt>
          <c:dPt>
            <c:idx val="5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/>
            </c:spPr>
          </c:dPt>
          <c:dPt>
            <c:idx val="6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[分析数据.xlsx]Sheet1!$B$51:$B$64</c:f>
              <c:numCache>
                <c:formatCode>yyyy/m/d</c:formatCode>
                <c:ptCount val="14"/>
                <c:pt idx="0" c:formatCode="yyyy/m/d">
                  <c:v>44021</c:v>
                </c:pt>
                <c:pt idx="1" c:formatCode="yyyy/m/d">
                  <c:v>44022</c:v>
                </c:pt>
                <c:pt idx="2" c:formatCode="yyyy/m/d">
                  <c:v>44023</c:v>
                </c:pt>
                <c:pt idx="3" c:formatCode="yyyy/m/d">
                  <c:v>44024</c:v>
                </c:pt>
                <c:pt idx="4" c:formatCode="yyyy/m/d">
                  <c:v>44025</c:v>
                </c:pt>
                <c:pt idx="5" c:formatCode="yyyy/m/d">
                  <c:v>44026</c:v>
                </c:pt>
                <c:pt idx="6" c:formatCode="yyyy/m/d">
                  <c:v>44027</c:v>
                </c:pt>
                <c:pt idx="7" c:formatCode="yyyy/m/d">
                  <c:v>44028</c:v>
                </c:pt>
                <c:pt idx="8" c:formatCode="yyyy/m/d">
                  <c:v>44029</c:v>
                </c:pt>
                <c:pt idx="9" c:formatCode="yyyy/m/d">
                  <c:v>44030</c:v>
                </c:pt>
                <c:pt idx="10" c:formatCode="yyyy/m/d">
                  <c:v>44031</c:v>
                </c:pt>
                <c:pt idx="11" c:formatCode="yyyy/m/d">
                  <c:v>44032</c:v>
                </c:pt>
                <c:pt idx="12" c:formatCode="yyyy/m/d">
                  <c:v>44033</c:v>
                </c:pt>
                <c:pt idx="13" c:formatCode="yyyy/m/d">
                  <c:v>44034</c:v>
                </c:pt>
              </c:numCache>
            </c:numRef>
          </c:cat>
          <c:val>
            <c:numRef>
              <c:f>[分析数据.xlsx]Sheet1!$C$51:$C$64</c:f>
              <c:numCache>
                <c:formatCode>General</c:formatCode>
                <c:ptCount val="14"/>
                <c:pt idx="0">
                  <c:v>904</c:v>
                </c:pt>
                <c:pt idx="1">
                  <c:v>1096</c:v>
                </c:pt>
                <c:pt idx="2">
                  <c:v>406</c:v>
                </c:pt>
                <c:pt idx="3">
                  <c:v>663</c:v>
                </c:pt>
                <c:pt idx="4">
                  <c:v>1107</c:v>
                </c:pt>
                <c:pt idx="5">
                  <c:v>1784</c:v>
                </c:pt>
                <c:pt idx="6">
                  <c:v>1720</c:v>
                </c:pt>
                <c:pt idx="7">
                  <c:v>217</c:v>
                </c:pt>
                <c:pt idx="8">
                  <c:v>180</c:v>
                </c:pt>
                <c:pt idx="9">
                  <c:v>55</c:v>
                </c:pt>
                <c:pt idx="10">
                  <c:v>80</c:v>
                </c:pt>
                <c:pt idx="11">
                  <c:v>359</c:v>
                </c:pt>
                <c:pt idx="12">
                  <c:v>349</c:v>
                </c:pt>
                <c:pt idx="13">
                  <c:v>311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323183622"/>
        <c:axId val="659591984"/>
      </c:barChart>
      <c:dateAx>
        <c:axId val="32318362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659591984"/>
        <c:crosses val="autoZero"/>
        <c:auto val="1"/>
        <c:lblOffset val="100"/>
        <c:baseTimeUnit val="days"/>
      </c:dateAx>
      <c:valAx>
        <c:axId val="6595919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23183622"/>
        <c:crosses val="autoZero"/>
        <c:crossBetween val="between"/>
        <c:majorUnit val="40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636545475938346"/>
          <c:y val="0.148467241033861"/>
          <c:w val="0.83362748558654"/>
          <c:h val="0.557202965337608"/>
        </c:manualLayout>
      </c:layout>
      <c:lineChart>
        <c:grouping val="standard"/>
        <c:varyColors val="0"/>
        <c:ser>
          <c:idx val="0"/>
          <c:order val="0"/>
          <c:tx>
            <c:strRef>
              <c:f>[6月图表数据.xlsx]投诉!$A$91</c:f>
              <c:strCache>
                <c:ptCount val="1"/>
                <c:pt idx="0">
                  <c:v>投诉量</c:v>
                </c:pt>
              </c:strCache>
            </c:strRef>
          </c:tx>
          <c:dLbls>
            <c:dLbl>
              <c:idx val="0"/>
              <c:layout>
                <c:manualLayout>
                  <c:x val="-0.00321027287319422"/>
                  <c:y val="-0.107255520504732"/>
                </c:manualLayout>
              </c:layout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0.00977092606665943"/>
                  <c:y val="-0.113924050632911"/>
                </c:manualLayout>
              </c:layout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0.00162848767777657"/>
                  <c:y val="-0.120253164556962"/>
                </c:manualLayout>
              </c:layout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0.00660735567582412"/>
                  <c:y val="-0.0123287944735058"/>
                </c:manualLayout>
              </c:layout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0.0146563890999891"/>
                  <c:y val="-0.0348101265822785"/>
                </c:manualLayout>
              </c:layout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0.00488546303332971"/>
                  <c:y val="-0.113924050632911"/>
                </c:manualLayout>
              </c:layout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0.00160513643659711"/>
                  <c:y val="-0.132492113564669"/>
                </c:manualLayout>
              </c:layout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0.0112359550561798"/>
                  <c:y val="-0.1198738170347"/>
                </c:manualLayout>
              </c:layout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0.00488546303332971"/>
                  <c:y val="-0.123417721518987"/>
                </c:manualLayout>
              </c:layout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0.00481540930979129"/>
                  <c:y val="0.000319450545062137"/>
                </c:manualLayout>
              </c:layout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numRef>
              <c:f>[6月图表数据.xlsx]投诉!$B$84:$M$84</c:f>
              <c:numCache>
                <c:formatCode>General</c:formatCode>
                <c:ptCount val="12"/>
                <c:pt idx="0">
                  <c:v>201907</c:v>
                </c:pt>
                <c:pt idx="1">
                  <c:v>201908</c:v>
                </c:pt>
                <c:pt idx="2">
                  <c:v>201909</c:v>
                </c:pt>
                <c:pt idx="3">
                  <c:v>201910</c:v>
                </c:pt>
                <c:pt idx="4">
                  <c:v>201911</c:v>
                </c:pt>
                <c:pt idx="5">
                  <c:v>201912</c:v>
                </c:pt>
                <c:pt idx="6">
                  <c:v>202001</c:v>
                </c:pt>
                <c:pt idx="7">
                  <c:v>202002</c:v>
                </c:pt>
                <c:pt idx="8">
                  <c:v>202003</c:v>
                </c:pt>
                <c:pt idx="9">
                  <c:v>202004</c:v>
                </c:pt>
                <c:pt idx="10">
                  <c:v>202005</c:v>
                </c:pt>
                <c:pt idx="11">
                  <c:v>202006</c:v>
                </c:pt>
              </c:numCache>
            </c:numRef>
          </c:cat>
          <c:val>
            <c:numRef>
              <c:f>[6月图表数据.xlsx]投诉!$B$91:$M$91</c:f>
              <c:numCache>
                <c:formatCode>General</c:formatCode>
                <c:ptCount val="12"/>
                <c:pt idx="0">
                  <c:v>14</c:v>
                </c:pt>
                <c:pt idx="1">
                  <c:v>13</c:v>
                </c:pt>
                <c:pt idx="2">
                  <c:v>11</c:v>
                </c:pt>
                <c:pt idx="3">
                  <c:v>13</c:v>
                </c:pt>
                <c:pt idx="4">
                  <c:v>15</c:v>
                </c:pt>
                <c:pt idx="5">
                  <c:v>16</c:v>
                </c:pt>
                <c:pt idx="6">
                  <c:v>9</c:v>
                </c:pt>
                <c:pt idx="7">
                  <c:v>7</c:v>
                </c:pt>
                <c:pt idx="8">
                  <c:v>12</c:v>
                </c:pt>
                <c:pt idx="9">
                  <c:v>15</c:v>
                </c:pt>
                <c:pt idx="10">
                  <c:v>25</c:v>
                </c:pt>
                <c:pt idx="11">
                  <c:v>14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40251904"/>
        <c:axId val="140253440"/>
      </c:lineChart>
      <c:lineChart>
        <c:grouping val="standard"/>
        <c:varyColors val="0"/>
        <c:ser>
          <c:idx val="1"/>
          <c:order val="1"/>
          <c:tx>
            <c:strRef>
              <c:f>[6月图表数据.xlsx]投诉!$A$92</c:f>
              <c:strCache>
                <c:ptCount val="1"/>
                <c:pt idx="0">
                  <c:v>二手房网签量</c:v>
                </c:pt>
              </c:strCache>
            </c:strRef>
          </c:tx>
          <c:dLbls>
            <c:delete val="1"/>
          </c:dLbls>
          <c:val>
            <c:numRef>
              <c:f>[6月图表数据.xlsx]投诉!$B$92:$M$92</c:f>
              <c:numCache>
                <c:formatCode>General</c:formatCode>
                <c:ptCount val="12"/>
                <c:pt idx="0">
                  <c:v>7349</c:v>
                </c:pt>
                <c:pt idx="1">
                  <c:v>6898</c:v>
                </c:pt>
                <c:pt idx="2">
                  <c:v>11156</c:v>
                </c:pt>
                <c:pt idx="3">
                  <c:v>5867</c:v>
                </c:pt>
                <c:pt idx="4">
                  <c:v>9243</c:v>
                </c:pt>
                <c:pt idx="5">
                  <c:v>11679</c:v>
                </c:pt>
                <c:pt idx="6">
                  <c:v>7473</c:v>
                </c:pt>
                <c:pt idx="7">
                  <c:v>1600</c:v>
                </c:pt>
                <c:pt idx="8">
                  <c:v>5527</c:v>
                </c:pt>
                <c:pt idx="9">
                  <c:v>15299</c:v>
                </c:pt>
                <c:pt idx="10">
                  <c:v>9582</c:v>
                </c:pt>
                <c:pt idx="11">
                  <c:v>11864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40277248"/>
        <c:axId val="140275712"/>
      </c:lineChart>
      <c:catAx>
        <c:axId val="1402519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40253440"/>
        <c:crosses val="autoZero"/>
        <c:auto val="1"/>
        <c:lblAlgn val="ctr"/>
        <c:lblOffset val="100"/>
        <c:noMultiLvlLbl val="0"/>
      </c:catAx>
      <c:valAx>
        <c:axId val="14025344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40251904"/>
        <c:crosses val="autoZero"/>
        <c:crossBetween val="between"/>
      </c:valAx>
      <c:catAx>
        <c:axId val="140277248"/>
        <c:scaling>
          <c:orientation val="minMax"/>
        </c:scaling>
        <c:delete val="1"/>
        <c:axPos val="b"/>
        <c:majorTickMark val="out"/>
        <c:minorTickMark val="none"/>
        <c:tickLblPos val="none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40275712"/>
        <c:crosses val="autoZero"/>
        <c:auto val="1"/>
        <c:lblAlgn val="ctr"/>
        <c:lblOffset val="100"/>
        <c:noMultiLvlLbl val="0"/>
      </c:catAx>
      <c:valAx>
        <c:axId val="140275712"/>
        <c:scaling>
          <c:orientation val="minMax"/>
        </c:scaling>
        <c:delete val="0"/>
        <c:axPos val="r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40277248"/>
        <c:crosses val="max"/>
        <c:crossBetween val="between"/>
      </c:valAx>
      <c:spPr>
        <a:noFill/>
      </c:spPr>
    </c:plotArea>
    <c:legend>
      <c:legendPos val="b"/>
      <c:layout>
        <c:manualLayout>
          <c:xMode val="edge"/>
          <c:yMode val="edge"/>
          <c:x val="0.294500544580287"/>
          <c:y val="0.882358543538994"/>
          <c:w val="0.407741935483871"/>
          <c:h val="0.0795727761752553"/>
        </c:manualLayout>
      </c:layout>
      <c:overlay val="0"/>
      <c:txPr>
        <a:bodyPr rot="0" spcFirstLastPara="0" vertOverflow="ellipsis" vert="horz" wrap="square" anchor="ctr" anchorCtr="1"/>
        <a:lstStyle/>
        <a:p>
          <a:pPr>
            <a:defRPr lang="zh-CN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</c:chart>
  <c:txPr>
    <a:bodyPr/>
    <a:lstStyle/>
    <a:p>
      <a:pPr>
        <a:defRPr lang="zh-CN"/>
      </a:pPr>
    </a:p>
  </c:txPr>
  <c:externalData r:id="rId1">
    <c:autoUpdate val="0"/>
  </c:externalData>
  <c:userShapes r:id="rId2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0.145833333333333</cdr:x>
      <cdr:y>0.0763888888888889</cdr:y>
    </cdr:to>
    <cdr:sp>
      <cdr:nvSpPr>
        <cdr:cNvPr id="2" name="矩形 1"/>
        <cdr:cNvSpPr/>
      </cdr:nvSpPr>
      <cdr:spPr xmlns:a="http://schemas.openxmlformats.org/drawingml/2006/main">
        <a:xfrm xmlns:a="http://schemas.openxmlformats.org/drawingml/2006/main">
          <a:off x="0" y="0"/>
          <a:ext cx="666750" cy="209550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Overflow="clip" horzOverflow="clip" vert="horz" wrap="square" lIns="45720" tIns="45720" rIns="45720" bIns="45720" rtlCol="0" anchor="t" anchorCtr="0">
          <a:normAutofit/>
        </a:bodyPr>
        <a:p>
          <a:r>
            <a:rPr lang="zh-CN" altLang="en-US" sz="900">
              <a:solidFill>
                <a:schemeClr val="tx1"/>
              </a:solidFill>
            </a:rPr>
            <a:t>单位：套</a:t>
          </a:r>
          <a:endParaRPr lang="zh-CN" altLang="en-US" sz="900">
            <a:solidFill>
              <a:schemeClr val="tx1"/>
            </a:solidFill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0.20625</cdr:x>
      <cdr:y>0.0213458019922749</cdr:y>
    </cdr:from>
    <cdr:to>
      <cdr:x>0.78958</cdr:x>
      <cdr:y>0.111625801992275</cdr:y>
    </cdr:to>
    <cdr:sp>
      <cdr:nvSpPr>
        <cdr:cNvPr id="2" name="矩形 1"/>
        <cdr:cNvSpPr/>
      </cdr:nvSpPr>
      <cdr:spPr xmlns:a="http://schemas.openxmlformats.org/drawingml/2006/main">
        <a:xfrm xmlns:a="http://schemas.openxmlformats.org/drawingml/2006/main">
          <a:off x="1163264" y="66675"/>
          <a:ext cx="3290022" cy="281995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Overflow="clip" vert="horz" wrap="square" lIns="45720" tIns="45720" rIns="45720" bIns="45720" rtlCol="0" anchor="t" anchorCtr="0">
          <a:normAutofit/>
        </a:bodyPr>
        <a:lstStyle/>
        <a:p>
          <a:pPr algn="ctr"/>
          <a:r>
            <a:rPr lang="zh-CN" altLang="en-US" sz="1200" b="1">
              <a:latin typeface="微软雅黑" panose="020B0503020204020204" pitchFamily="34" charset="-122"/>
              <a:ea typeface="微软雅黑" panose="020B0503020204020204" pitchFamily="34" charset="-122"/>
            </a:rPr>
            <a:t>受理投诉量及二手房网签量走势</a:t>
          </a:r>
          <a:endParaRPr lang="zh-CN" altLang="en-US" sz="1200" b="1">
            <a:latin typeface="微软雅黑" panose="020B0503020204020204" pitchFamily="34" charset="-122"/>
            <a:ea typeface="微软雅黑" panose="020B0503020204020204" pitchFamily="34" charset="-122"/>
          </a:endParaRPr>
        </a:p>
      </cdr:txBody>
    </cdr:sp>
  </cdr:relSizeAnchor>
  <cdr:relSizeAnchor xmlns:cdr="http://schemas.openxmlformats.org/drawingml/2006/chartDrawing">
    <cdr:from>
      <cdr:x>0</cdr:x>
      <cdr:y>0</cdr:y>
    </cdr:from>
    <cdr:to>
      <cdr:x>0.110628596243622</cdr:x>
      <cdr:y>0.0759493670886076</cdr:y>
    </cdr:to>
    <cdr:sp>
      <cdr:nvSpPr>
        <cdr:cNvPr id="3" name="矩形 2"/>
        <cdr:cNvSpPr/>
      </cdr:nvSpPr>
      <cdr:spPr xmlns:a="http://schemas.openxmlformats.org/drawingml/2006/main">
        <a:xfrm xmlns:a="http://schemas.openxmlformats.org/drawingml/2006/main">
          <a:off x="0" y="0"/>
          <a:ext cx="647065" cy="228600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Overflow="clip" horzOverflow="clip" vert="horz" wrap="square" lIns="45720" tIns="45720" rIns="45720" bIns="45720" rtlCol="0" anchor="t" anchorCtr="0">
          <a:normAutofit/>
        </a:bodyPr>
        <a:p>
          <a:r>
            <a:rPr lang="zh-CN" altLang="en-US" sz="900"/>
            <a:t>单位：宗</a:t>
          </a:r>
          <a:endParaRPr lang="zh-CN" altLang="en-US" sz="900"/>
        </a:p>
      </cdr:txBody>
    </cdr:sp>
  </cdr:relSizeAnchor>
  <cdr:relSizeAnchor xmlns:cdr="http://schemas.openxmlformats.org/drawingml/2006/chartDrawing">
    <cdr:from>
      <cdr:x>0.887742916078602</cdr:x>
      <cdr:y>0</cdr:y>
    </cdr:from>
    <cdr:to>
      <cdr:x>1</cdr:x>
      <cdr:y>0.0791139240506329</cdr:y>
    </cdr:to>
    <cdr:sp>
      <cdr:nvSpPr>
        <cdr:cNvPr id="4" name="矩形 3"/>
        <cdr:cNvSpPr/>
      </cdr:nvSpPr>
      <cdr:spPr xmlns:a="http://schemas.openxmlformats.org/drawingml/2006/main">
        <a:xfrm xmlns:a="http://schemas.openxmlformats.org/drawingml/2006/main">
          <a:off x="5192395" y="0"/>
          <a:ext cx="656590" cy="238125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Overflow="clip" horzOverflow="clip" vert="horz" wrap="square" lIns="45720" tIns="45720" rIns="45720" bIns="45720" rtlCol="0" anchor="t" anchorCtr="0">
          <a:normAutofit/>
        </a:bodyPr>
        <a:p>
          <a:r>
            <a:rPr lang="zh-CN" altLang="en-US" sz="900"/>
            <a:t>单位：套</a:t>
          </a:r>
          <a:endParaRPr lang="zh-CN" altLang="en-US" sz="900"/>
        </a:p>
      </cdr:txBody>
    </cdr:sp>
  </cdr:relSizeAnchor>
</c:userShap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  <customShpInfo spid="_x0000_s2052"/>
    <customShpInfo spid="_x0000_s205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B6673F7-8838-4F64-89A7-B3C4A34595B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1765</Words>
  <Characters>2243</Characters>
  <Paragraphs>344</Paragraphs>
  <TotalTime>5</TotalTime>
  <ScaleCrop>false</ScaleCrop>
  <LinksUpToDate>false</LinksUpToDate>
  <CharactersWithSpaces>2252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2018-11-21T01:56:00Z</dcterms:created>
  <dc:creator>huah</dc:creator>
  <cp:lastModifiedBy>深房中协周衍江</cp:lastModifiedBy>
  <cp:lastPrinted>2019-07-25T01:26:00Z</cp:lastPrinted>
  <dcterms:modified xsi:type="dcterms:W3CDTF">2020-07-24T05:43:55Z</dcterms:modified>
  <cp:revision>9133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