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olors1.xml" ContentType="application/vnd.ms-office.chartcolorstyle+xml"/>
  <Override PartName="/word/charts/colors2.xml" ContentType="application/vnd.ms-office.chartcolorstyle+xml"/>
  <Override PartName="/word/charts/style1.xml" ContentType="application/vnd.ms-office.chartstyle+xml"/>
  <Override PartName="/word/charts/style2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theme/themeOverride1.xml" ContentType="application/vnd.openxmlformats-officedocument.themeOverrid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2020年上半年深圳房地产市场小结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2020年上半年，受新冠疫情影响，深圳房地产项目建设施工进度放缓，深圳新房推盘节奏放缓，供应相对紧缺的条件下，深圳楼市购买需求转向二手房市场或延缓释放；同时，由于经济基本面受到疫情影响持续承压，短期内，在部分炒房投机群体的带动下，社会资金的确出现了一定程度的“避实就虚”现象。因此，2020年上半年，深圳楼市呈现出新房市场总体平稳，二手房市场“躁动”的奇异现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一、一手住宅成交量总体平稳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深房中协统计，2020年上半年深圳市场处于供应不足的局面，开年之后3月、4月、5月、6月深圳新房住宅成交量比较平稳，依次为3152套、3446套、3143套、3343套，2020年上半年深圳新房住宅合计成交16727套，同比还小幅下降了5.4%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732790</wp:posOffset>
            </wp:positionH>
            <wp:positionV relativeFrom="paragraph">
              <wp:posOffset>73660</wp:posOffset>
            </wp:positionV>
            <wp:extent cx="3921125" cy="2471420"/>
            <wp:effectExtent l="0" t="0" r="3175" b="5080"/>
            <wp:wrapTight wrapText="bothSides">
              <wp:wrapPolygon>
                <wp:start x="0" y="0"/>
                <wp:lineTo x="0" y="21478"/>
                <wp:lineTo x="21513" y="21478"/>
                <wp:lineTo x="21513" y="0"/>
                <wp:lineTo x="0" y="0"/>
              </wp:wrapPolygon>
            </wp:wrapTight>
            <wp:docPr id="3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anchor>
        </w:drawing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3832860</wp:posOffset>
                </wp:positionH>
                <wp:positionV relativeFrom="paragraph">
                  <wp:posOffset>344805</wp:posOffset>
                </wp:positionV>
                <wp:extent cx="657860" cy="293370"/>
                <wp:effectExtent l="0" t="0" r="0" b="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49170" y="2425065"/>
                          <a:ext cx="657860" cy="29337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color w:val="000000" w:themeColor="text1"/>
                                <w:sz w:val="18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Theme="minorEastAsia"/>
                                <w:color w:val="000000" w:themeColor="text1"/>
                                <w:sz w:val="18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单位：套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1.8pt;margin-top:27.15pt;height:23.1pt;width:51.8pt;z-index:251687936;v-text-anchor:middle;mso-width-relative:page;mso-height-relative:page;" filled="f" stroked="f" coordsize="21600,21600" o:gfxdata="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AzdnAnYAAAA&#10;CgEAAA8AAAAAAAAAAQAgAAAAIgAAAGRycy9kb3ducmV2LnhtbFBLAQIUABQAAAAIAIdO4kDrIpFb&#10;VgIAAHgEAAAOAAAAAAAAAAEAIAAAACcBAABkcnMvZTJvRG9jLnhtbFBLBQYAAAAABgAGAFkBAADv&#10;BQ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color w:val="000000" w:themeColor="text1"/>
                          <w:sz w:val="18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eastAsiaTheme="minorEastAsia"/>
                          <w:color w:val="000000" w:themeColor="text1"/>
                          <w:sz w:val="18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单位：套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（数据来源：深圳市住建局）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二、二手房市场网签量数据分析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（一）二手房市场网签量连创近几年新高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根据数据统计，2020年上半年，深圳二手房网签量合计51345套，同比去年同期则大幅上涨44.8%。从月度走势看，2020年上半年的二手房市场的确经历了一场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“七上八下”过山车式的行情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1.1月行情延续去年“豪宅税”利好行情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从月度数据看，1月份，由于承接了去年年底“豪宅税”新政的利好延续，属于市场成交惯性，所以同比去年同期成交量要高出不少。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598" w:leftChars="285" w:right="0" w:firstLine="0" w:firstLineChars="0"/>
        <w:jc w:val="left"/>
        <w:textAlignment w:val="top"/>
        <w:rPr>
          <w:rFonts w:hint="eastAsia"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</w:pPr>
      <w:r>
        <w:rPr>
          <w:rFonts w:hint="default" w:ascii="仿宋" w:hAnsi="仿宋" w:eastAsia="仿宋" w:cs="仿宋"/>
          <w:b/>
          <w:bCs/>
          <w:sz w:val="32"/>
          <w:szCs w:val="32"/>
          <w:em w:val="dot"/>
          <w:lang w:val="en-US" w:eastAsia="zh-CN"/>
        </w:rPr>
        <w:drawing>
          <wp:anchor distT="0" distB="0" distL="114300" distR="114300" simplePos="0" relativeHeight="254405632" behindDoc="1" locked="0" layoutInCell="1" allowOverlap="1">
            <wp:simplePos x="0" y="0"/>
            <wp:positionH relativeFrom="column">
              <wp:posOffset>920750</wp:posOffset>
            </wp:positionH>
            <wp:positionV relativeFrom="paragraph">
              <wp:posOffset>168275</wp:posOffset>
            </wp:positionV>
            <wp:extent cx="3914775" cy="2224405"/>
            <wp:effectExtent l="0" t="0" r="0" b="0"/>
            <wp:wrapTight wrapText="bothSides">
              <wp:wrapPolygon>
                <wp:start x="0" y="0"/>
                <wp:lineTo x="0" y="21458"/>
                <wp:lineTo x="21547" y="21458"/>
                <wp:lineTo x="21547" y="0"/>
                <wp:lineTo x="0" y="0"/>
              </wp:wrapPolygon>
            </wp:wrapTight>
            <wp:docPr id="6" name="图片 6" descr="webwxgetmsg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webwxgetmsgim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2224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598" w:leftChars="285" w:right="0" w:firstLine="0" w:firstLineChars="0"/>
        <w:jc w:val="left"/>
        <w:textAlignment w:val="top"/>
        <w:rPr>
          <w:rFonts w:hint="eastAsia"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598" w:leftChars="285" w:right="0" w:firstLine="0" w:firstLineChars="0"/>
        <w:jc w:val="left"/>
        <w:textAlignment w:val="top"/>
        <w:rPr>
          <w:rFonts w:hint="eastAsia"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598" w:leftChars="285" w:right="0" w:firstLine="0" w:firstLineChars="0"/>
        <w:jc w:val="left"/>
        <w:textAlignment w:val="top"/>
        <w:rPr>
          <w:rFonts w:hint="eastAsia"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598" w:leftChars="285" w:right="0" w:firstLine="0" w:firstLineChars="0"/>
        <w:jc w:val="left"/>
        <w:textAlignment w:val="top"/>
        <w:rPr>
          <w:rFonts w:hint="eastAsia"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598" w:leftChars="285" w:right="0" w:firstLine="0" w:firstLineChars="0"/>
        <w:jc w:val="left"/>
        <w:textAlignment w:val="top"/>
        <w:rPr>
          <w:rFonts w:hint="eastAsia"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598" w:leftChars="285" w:right="0" w:firstLine="0" w:firstLineChars="0"/>
        <w:jc w:val="left"/>
        <w:textAlignment w:val="top"/>
        <w:rPr>
          <w:rFonts w:hint="eastAsia"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598" w:leftChars="285" w:right="0" w:firstLine="0" w:firstLineChars="0"/>
        <w:jc w:val="left"/>
        <w:textAlignment w:val="top"/>
        <w:rPr>
          <w:rFonts w:hint="eastAsia"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598" w:leftChars="285" w:right="0" w:firstLine="0" w:firstLineChars="0"/>
        <w:jc w:val="left"/>
        <w:textAlignment w:val="top"/>
        <w:rPr>
          <w:rFonts w:hint="eastAsia"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598" w:leftChars="285" w:right="0" w:firstLine="0" w:firstLineChars="0"/>
        <w:jc w:val="left"/>
        <w:textAlignment w:val="top"/>
        <w:rPr>
          <w:rFonts w:hint="eastAsia"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598" w:leftChars="285" w:right="0" w:firstLine="0" w:firstLineChars="0"/>
        <w:jc w:val="left"/>
        <w:textAlignment w:val="top"/>
        <w:rPr>
          <w:rFonts w:hint="eastAsia"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598" w:leftChars="285" w:right="0" w:firstLine="0" w:firstLineChars="0"/>
        <w:jc w:val="left"/>
        <w:textAlignment w:val="top"/>
        <w:rPr>
          <w:rFonts w:hint="eastAsia"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598" w:leftChars="285" w:right="0" w:firstLine="0" w:firstLineChars="0"/>
        <w:jc w:val="left"/>
        <w:textAlignment w:val="top"/>
        <w:rPr>
          <w:rFonts w:hint="eastAsia"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598" w:leftChars="285" w:right="0" w:firstLine="0" w:firstLineChars="0"/>
        <w:jc w:val="left"/>
        <w:textAlignment w:val="top"/>
        <w:rPr>
          <w:rFonts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</w:pPr>
      <w:r>
        <w:rPr>
          <w:rFonts w:hint="eastAsia"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  <w:t>（注：</w:t>
      </w:r>
      <w:r>
        <w:rPr>
          <w:rFonts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  <w:t>本图所示</w:t>
      </w:r>
      <w:r>
        <w:rPr>
          <w:rFonts w:hint="eastAsia"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  <w:t>网签量</w:t>
      </w:r>
      <w:r>
        <w:rPr>
          <w:rFonts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  <w:t>，系指在深圳市房地产信息系统在线签订《深圳市二手房买卖合同》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598" w:leftChars="285" w:right="0" w:firstLine="0" w:firstLineChars="0"/>
        <w:jc w:val="left"/>
        <w:textAlignment w:val="top"/>
        <w:rPr>
          <w:rFonts w:hint="eastAsia"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</w:pPr>
      <w:r>
        <w:rPr>
          <w:rFonts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  <w:t>示范文本合同份数， 并非最终成交过户套数。</w:t>
      </w:r>
      <w:r>
        <w:rPr>
          <w:rFonts w:hint="eastAsia"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（数据来源：深房中协）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2.春节效应，叠加疫情影响，市场出现短暂“封冻”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进入2月份，由于传统春节假期效应，叠加了新冠疫情爆发的双重影响，整个2月份楼市几乎处于“封冻”状态。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3.月复工复产后市场由“恢复”变成“躁动”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随着3月份各行各业复工复产的推进，原本因疫情积压的需求开始逐步恢复与释放，可以看出3月份二手房走势仍处于一个恢复阶段；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但自进入4月份中旬之后，在一小撮投机炒房团体的带动下，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以南山、宝安为代表的，具有名校资源优势的片区，便开始出现房源报价不正常大幅上涨的现象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，并且随着部分不负责任的自媒体夸大宣传影响下，迅速在我市掀起了一轮上涨行情，因此，4月份的二手房网签量迅速破万，并创下了近4年来的新高。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4.月楼市迎短暂震荡调整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由于此前市场从4月底开始传言5月份可能会出台更为严厉的调控政策，导致在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4月底至5月初的期间，出现了集中网签的事件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，但随着事件被辟谣，以及我市主管部门从4月中下旬开始，对深圳楼市开展了一系列严厉的专项整治工作，市场自5月中旬之后，出现了短暂的观望情绪，导致二手房网签量从16周开始至20周，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连续四周的“回落”，总体回调幅度高达37.3%，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市场在短期内的确经历了震荡回调行情。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7163264" behindDoc="1" locked="0" layoutInCell="1" allowOverlap="1">
            <wp:simplePos x="0" y="0"/>
            <wp:positionH relativeFrom="column">
              <wp:posOffset>869315</wp:posOffset>
            </wp:positionH>
            <wp:positionV relativeFrom="paragraph">
              <wp:posOffset>141605</wp:posOffset>
            </wp:positionV>
            <wp:extent cx="3959860" cy="2345055"/>
            <wp:effectExtent l="0" t="0" r="2540" b="17145"/>
            <wp:wrapNone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23450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598" w:leftChars="285" w:right="0" w:firstLine="0" w:firstLineChars="0"/>
        <w:jc w:val="left"/>
        <w:textAlignment w:val="top"/>
        <w:rPr>
          <w:rFonts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</w:pPr>
      <w:r>
        <w:rPr>
          <w:rFonts w:hint="eastAsia"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  <w:t>（注：</w:t>
      </w:r>
      <w:r>
        <w:rPr>
          <w:rFonts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  <w:t>本图所示</w:t>
      </w:r>
      <w:r>
        <w:rPr>
          <w:rFonts w:hint="eastAsia"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  <w:t>网签量</w:t>
      </w:r>
      <w:r>
        <w:rPr>
          <w:rFonts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  <w:t>，系指在深圳市房地产信息系统在线签订《深圳市二手房买卖合同》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598" w:leftChars="285" w:right="0" w:firstLine="0" w:firstLineChars="0"/>
        <w:jc w:val="left"/>
        <w:textAlignment w:val="top"/>
        <w:rPr>
          <w:rFonts w:hint="eastAsia"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</w:pPr>
      <w:r>
        <w:rPr>
          <w:rFonts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  <w:t>示范文本合同份数， 并非最终成交过户套数。</w:t>
      </w:r>
      <w:r>
        <w:rPr>
          <w:rFonts w:hint="eastAsia" w:ascii="微软雅黑" w:eastAsia="微软雅黑" w:hAnsiTheme="minorBidi" w:cstheme="minorBidi"/>
          <w:b/>
          <w:color w:val="C00000"/>
          <w:kern w:val="24"/>
          <w:sz w:val="20"/>
          <w:szCs w:val="20"/>
          <w:lang w:val="en-US" w:eastAsia="zh-CN" w:bidi="ar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（数据来源：深房中协）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5.6月炒房行为有所抬头，并呈现“东移”现象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但进入6月之后，一方面受新学年报名时间临近的影响，赶在报名时间节点前购房的群体会呈现一波短暂的集中释放；另一方面，此前消停一阵的“投机炒房”行为又开始露头，综合导致深圳6月份二手房的网签量再度呈现放量态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（二）住宅仍然是二手房交易的主流类型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通过2020年上半年二手房网签房产类型看，住宅是绝对主力，占总量90%，公寓类型以7%的占比排第二位，写字楼以2%的占比排第三。</w:t>
      </w:r>
    </w:p>
    <w:p>
      <w:pPr>
        <w:jc w:val="center"/>
      </w:pPr>
      <w:r>
        <w:drawing>
          <wp:inline distT="0" distB="0" distL="114300" distR="114300">
            <wp:extent cx="4486910" cy="3124200"/>
            <wp:effectExtent l="4445" t="4445" r="23495" b="14605"/>
            <wp:docPr id="2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（数据来源：深房中协标准指数）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二、常量因素，叠加变量因素，综合导致上半年特殊的行情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总体而言，除了受到深圳“人多地少（供需矛盾）”、“城市竞争力名列前茅”，“金融手段的丰富与创新”，以及“固定资产投资保值意识”等常量因素影响外，同时还叠加以下几个变量因素的影响，才综合导致了深圳上半年二手房较为特殊的行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（一）反观疫情前，深圳楼市能总体保持相对平稳的态势，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很大程度上而言是得益于过去供需双方建立了一个相对脆弱的“微平衡”。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但疫情的突如其来，不仅使新房供应戛然而止，同样，因全面停工与各小区封闭管理，导致二手房市场也处于封冻状态，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使得原本脆弱的“微平稳”被迅速打破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，造成复工复产后，原本积压的二手房需求叠加了部分分流的新房需求，并在短期内予以了集中释放；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（二）疫情对我国经济基本面影响巨大，央行为恢复经济发展，在全面复工后，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改变了以往持续多年的“谨慎”的货币政策，在疫情期间连续出台了几轮货币救助举措，使得短期内国内M2（广义货币）的增幅由以往的平稳，迅速变为激增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，同时，前期部分扶持小微实体经济的各类普惠性低息贷款，也存在部分流入楼市的现象，综合导致在流动性相对充裕的前提下，核心城市的资产价格具有了上涨基础；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（三）一小部分投机炒房团体的带节奏影响。根据此前深房中协对深圳楼市的持续观察与研究发现，在此轮楼市行情中，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一直若隐若现的存在着一小撮投机炒房群体“乱带节奏”高位出货的现象，加之在深圳发达宽松的自媒体运营环境下，部分不负责任的自媒体也通过夸大不实报道的方式，对消费者进行误导性宣传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，综合导致自4月份开始，楼市过热的问题有所抬头。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b/>
          <w:bCs/>
          <w:sz w:val="32"/>
          <w:szCs w:val="32"/>
          <w:em w:val="dot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而对于投机炒房行为为何会在上半年集中呈现，深房中协认为，主要还是投机时点的把握问题，即投机炒房群体前期相对低吸的楼盘，借疫情期间M2相对宽松，以及需求相对集中释放为契机，高抛出货，同时，通过部分自媒体的传播造成社会舆情的哗然，不排除借此引起监管层的关注，以期以严厉态势打压楼市，造成楼市持续性的剧烈震荡的目的，一旦楼市进入持续性的剧烈震荡后，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其便可借楼市剧烈动荡再大量低吸房源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以备往后再次高抛出货，其手段与炒作股市的手法如出一辙。</w:t>
      </w: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01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510302"/>
    <w:rsid w:val="077A0ED1"/>
    <w:rsid w:val="163B1755"/>
    <w:rsid w:val="16624D94"/>
    <w:rsid w:val="169E52ED"/>
    <w:rsid w:val="1A4213EE"/>
    <w:rsid w:val="353421FF"/>
    <w:rsid w:val="37042E19"/>
    <w:rsid w:val="3B7B4010"/>
    <w:rsid w:val="3CE43889"/>
    <w:rsid w:val="3E235636"/>
    <w:rsid w:val="3E7106E2"/>
    <w:rsid w:val="400B460D"/>
    <w:rsid w:val="40A2690C"/>
    <w:rsid w:val="41032985"/>
    <w:rsid w:val="4A4821AE"/>
    <w:rsid w:val="625C08FF"/>
    <w:rsid w:val="71591AA8"/>
    <w:rsid w:val="77917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styleId="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chart" Target="charts/chart2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chart" Target="charts/chart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4" Type="http://schemas.microsoft.com/office/2011/relationships/chartColorStyle" Target="colors2.xml"/><Relationship Id="rId3" Type="http://schemas.microsoft.com/office/2011/relationships/chartStyle" Target="style2.xml"/><Relationship Id="rId2" Type="http://schemas.openxmlformats.org/officeDocument/2006/relationships/themeOverride" Target="../theme/themeOverride1.xml"/><Relationship Id="rId1" Type="http://schemas.openxmlformats.org/officeDocument/2006/relationships/package" Target="../embeddings/Workbook1.xlsx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D:\&#26085;&#24120;&#21150;&#20844;&#25991;&#20214;\&#30740;&#31350;&#37096;\&#19987;&#39064;&#20998;&#26512;&#25253;&#21578;\7&#26376;&#8212;&#21322;&#24180;&#12289;2&#23395;&#24230;&#25253;&#21578;\&#20998;&#26512;&#25968;&#25454;&#65288;2020&#24180;&#19978;&#21322;&#24180;&#65289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2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n-US" altLang="zh-CN" sz="1200" b="1"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</a:rPr>
              <a:t>2019</a:t>
            </a:r>
            <a:r>
              <a:rPr altLang="en-US" sz="1200" b="1"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</a:rPr>
              <a:t>年</a:t>
            </a:r>
            <a:r>
              <a:rPr lang="en-US" altLang="zh-CN" sz="1200" b="1"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</a:rPr>
              <a:t>6</a:t>
            </a:r>
            <a:r>
              <a:rPr altLang="en-US" sz="1200" b="1"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</a:rPr>
              <a:t>月至今一手住宅成交（过户）套数</a:t>
            </a:r>
            <a:endParaRPr altLang="en-US" sz="1200" b="1">
              <a:latin typeface="黑体" panose="02010609060101010101" charset="-122"/>
              <a:ea typeface="黑体" panose="02010609060101010101" charset="-122"/>
              <a:cs typeface="黑体" panose="02010609060101010101" charset="-122"/>
            </a:endParaRPr>
          </a:p>
        </c:rich>
      </c:tx>
      <c:layout>
        <c:manualLayout>
          <c:xMode val="edge"/>
          <c:yMode val="edge"/>
          <c:x val="0.135083676541009"/>
          <c:y val="0.0201869968340908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0986671054796775"/>
          <c:y val="0.0975158885420986"/>
          <c:w val="0.860194174757282"/>
          <c:h val="0.760192230676812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一手住宅</c:v>
                </c:pt>
              </c:strCache>
            </c:strRef>
          </c:tx>
          <c:spPr>
            <a:solidFill>
              <a:srgbClr val="5B9BD5"/>
            </a:solidFill>
            <a:ln>
              <a:noFill/>
            </a:ln>
            <a:effectLst/>
          </c:spPr>
          <c:invertIfNegative val="0"/>
          <c:dPt>
            <c:idx val="3"/>
            <c:invertIfNegative val="0"/>
            <c:bubble3D val="0"/>
            <c:spPr>
              <a:solidFill>
                <a:srgbClr val="5B9BD5"/>
              </a:solidFill>
              <a:ln>
                <a:noFill/>
              </a:ln>
              <a:effectLst/>
            </c:spPr>
          </c:dPt>
          <c:dPt>
            <c:idx val="7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8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9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1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11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Pt>
            <c:idx val="12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</c:dPt>
          <c:dLbls>
            <c:dLbl>
              <c:idx val="0"/>
              <c:layout>
                <c:manualLayout>
                  <c:x val="-0.0059919028340081"/>
                  <c:y val="-0.270298047276465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0.00194331983805668"/>
                  <c:y val="-0.27672147995889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.00388663967611336"/>
                  <c:y val="-0.226875642343268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0.00194331983805668"/>
                  <c:y val="-0.20837615621788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0"/>
                  <c:y val="-0.186536485097636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0.00582995951417004"/>
                  <c:y val="-0.23304213771839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0.00582995951417004"/>
                  <c:y val="-0.326310380267215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0.00793522267206478"/>
                  <c:y val="-0.223792394655704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0.00388663967611336"/>
                  <c:y val="-0.0996916752312436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0.00194331983805668"/>
                  <c:y val="-0.23304213771839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0.00582995951417004"/>
                  <c:y val="-0.2672147995889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0.00777327935222672"/>
                  <c:y val="-0.226875642343268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0.0269356617071464"/>
                  <c:y val="-0.261305241521069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1" i="0" u="none" strike="noStrike" kern="1200" baseline="0">
                    <a:solidFill>
                      <a:sysClr val="windowText" lastClr="000000">
                        <a:lumMod val="75000"/>
                        <a:lumOff val="2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ysClr val="windowText" lastClr="000000">
                          <a:lumMod val="35000"/>
                          <a:lumOff val="65000"/>
                        </a:sys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Sheet1!$A$2:$A$14</c:f>
              <c:numCache>
                <c:formatCode>General</c:formatCode>
                <c:ptCount val="13"/>
                <c:pt idx="0">
                  <c:v>201906</c:v>
                </c:pt>
                <c:pt idx="1">
                  <c:v>201907</c:v>
                </c:pt>
                <c:pt idx="2">
                  <c:v>201908</c:v>
                </c:pt>
                <c:pt idx="3">
                  <c:v>201909</c:v>
                </c:pt>
                <c:pt idx="4">
                  <c:v>201910</c:v>
                </c:pt>
                <c:pt idx="5">
                  <c:v>201911</c:v>
                </c:pt>
                <c:pt idx="6">
                  <c:v>201912</c:v>
                </c:pt>
                <c:pt idx="7">
                  <c:v>202001</c:v>
                </c:pt>
                <c:pt idx="8">
                  <c:v>202002</c:v>
                </c:pt>
                <c:pt idx="9">
                  <c:v>202003</c:v>
                </c:pt>
                <c:pt idx="10">
                  <c:v>202004</c:v>
                </c:pt>
                <c:pt idx="11">
                  <c:v>202005</c:v>
                </c:pt>
                <c:pt idx="12">
                  <c:v>202006</c:v>
                </c:pt>
              </c:numCache>
            </c:numRef>
          </c:cat>
          <c:val>
            <c:numRef>
              <c:f>Sheet1!$B$2:$B$14</c:f>
              <c:numCache>
                <c:formatCode>General</c:formatCode>
                <c:ptCount val="13"/>
                <c:pt idx="0">
                  <c:v>3506</c:v>
                </c:pt>
                <c:pt idx="1">
                  <c:v>3629</c:v>
                </c:pt>
                <c:pt idx="2">
                  <c:v>3038</c:v>
                </c:pt>
                <c:pt idx="3">
                  <c:v>2823</c:v>
                </c:pt>
                <c:pt idx="4">
                  <c:v>2656</c:v>
                </c:pt>
                <c:pt idx="5">
                  <c:v>3196</c:v>
                </c:pt>
                <c:pt idx="6">
                  <c:v>4861</c:v>
                </c:pt>
                <c:pt idx="7">
                  <c:v>2813</c:v>
                </c:pt>
                <c:pt idx="8">
                  <c:v>830</c:v>
                </c:pt>
                <c:pt idx="9">
                  <c:v>3152</c:v>
                </c:pt>
                <c:pt idx="10">
                  <c:v>3446</c:v>
                </c:pt>
                <c:pt idx="11">
                  <c:v>3143</c:v>
                </c:pt>
                <c:pt idx="12">
                  <c:v>3343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727048374"/>
        <c:axId val="830474048"/>
      </c:barChart>
      <c:catAx>
        <c:axId val="727048374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>
                <a:lumMod val="15000"/>
                <a:lumOff val="85000"/>
              </a:sys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</a:p>
        </c:txPr>
        <c:crossAx val="830474048"/>
        <c:crosses val="autoZero"/>
        <c:auto val="1"/>
        <c:lblAlgn val="ctr"/>
        <c:lblOffset val="100"/>
        <c:noMultiLvlLbl val="0"/>
      </c:catAx>
      <c:valAx>
        <c:axId val="8304740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</a:p>
        </c:txPr>
        <c:crossAx val="72704837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ysClr val="window" lastClr="FFFFFF"/>
    </a:solidFill>
    <a:ln w="9525" cap="flat" cmpd="sng" algn="ctr">
      <a:noFill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 b="1">
                <a:solidFill>
                  <a:schemeClr val="tx1"/>
                </a:solidFill>
              </a:rPr>
              <a:t>2020</a:t>
            </a:r>
            <a:r>
              <a:rPr altLang="en-US" b="1">
                <a:solidFill>
                  <a:schemeClr val="tx1"/>
                </a:solidFill>
              </a:rPr>
              <a:t>年上半年</a:t>
            </a:r>
            <a:r>
              <a:rPr b="1">
                <a:solidFill>
                  <a:schemeClr val="tx1"/>
                </a:solidFill>
              </a:rPr>
              <a:t>二手房网签房产类型分布</a:t>
            </a:r>
            <a:endParaRPr b="1">
              <a:solidFill>
                <a:schemeClr val="tx1"/>
              </a:solidFill>
            </a:endParaRP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'[分析数据（2020年上半年）.xlsx]汇总'!$E$439:$E$440</c:f>
              <c:strCache>
                <c:ptCount val="1"/>
                <c:pt idx="0">
                  <c:v>2020年上半年 网签单量</c:v>
                </c:pt>
              </c:strCache>
            </c:strRef>
          </c:tx>
          <c:spPr/>
          <c:explosion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0.0257954386244813"/>
                  <c:y val="-0.0741933761706072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t>工业，0%</a:t>
                    </a:r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.0254953894447715"/>
                  <c:y val="-0.0478489159891599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t>公寓，7%</a:t>
                    </a:r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52148322542672"/>
                      <c:h val="0.0731707317073171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0.0282357396678526"/>
                  <c:y val="-0.0293598804487974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t>其他，0%</a:t>
                    </a:r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69070041200706"/>
                      <c:h val="0.0766260162601626"/>
                    </c:manualLayout>
                  </c15:layout>
                </c:ext>
              </c:extLst>
            </c:dLbl>
            <c:dLbl>
              <c:idx val="3"/>
              <c:layout>
                <c:manualLayout>
                  <c:x val="0.0386749060779929"/>
                  <c:y val="0.0449878691185753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t>商业，1%</a:t>
                    </a:r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51854031783402"/>
                      <c:h val="0.065650406504065"/>
                    </c:manualLayout>
                  </c15:layout>
                </c:ext>
              </c:extLst>
            </c:dLbl>
            <c:dLbl>
              <c:idx val="4"/>
              <c:layout>
                <c:manualLayout>
                  <c:x val="-0.0230486962332913"/>
                  <c:y val="0.15885279503387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t>写字楼，2%</a:t>
                    </a:r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0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t>住宅，90%</a:t>
                    </a:r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'[分析数据（2020年上半年）.xlsx]汇总'!$D$441:$D$446</c:f>
              <c:strCache>
                <c:ptCount val="6"/>
                <c:pt idx="0">
                  <c:v>工业</c:v>
                </c:pt>
                <c:pt idx="1">
                  <c:v>公寓</c:v>
                </c:pt>
                <c:pt idx="2">
                  <c:v>其他</c:v>
                </c:pt>
                <c:pt idx="3">
                  <c:v>商业</c:v>
                </c:pt>
                <c:pt idx="4">
                  <c:v>写字楼</c:v>
                </c:pt>
                <c:pt idx="5">
                  <c:v>住宅</c:v>
                </c:pt>
              </c:strCache>
            </c:strRef>
          </c:cat>
          <c:val>
            <c:numRef>
              <c:f>'[分析数据（2020年上半年）.xlsx]汇总'!$E$441:$E$446</c:f>
              <c:numCache>
                <c:formatCode>General</c:formatCode>
                <c:ptCount val="6"/>
                <c:pt idx="0">
                  <c:v>79</c:v>
                </c:pt>
                <c:pt idx="1">
                  <c:v>3025</c:v>
                </c:pt>
                <c:pt idx="2">
                  <c:v>79</c:v>
                </c:pt>
                <c:pt idx="3">
                  <c:v>510</c:v>
                </c:pt>
                <c:pt idx="4">
                  <c:v>783</c:v>
                </c:pt>
                <c:pt idx="5">
                  <c:v>46869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7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75000"/>
          <a:lumOff val="2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ysClr val="windowText" lastClr="000000">
        <a:lumMod val="65000"/>
        <a:lumOff val="35000"/>
      </a:sysClr>
    </cs:fontRef>
    <cs:defRPr sz="1000" kern="1200"/>
  </cs:axisTitle>
  <cs:categoryAxis>
    <cs:lnRef idx="0"/>
    <cs:fillRef idx="0"/>
    <cs:effectRef idx="0"/>
    <cs:fontRef idx="minor">
      <a:sysClr val="windowText" lastClr="000000">
        <a:lumMod val="65000"/>
        <a:lumOff val="35000"/>
      </a:sysClr>
    </cs:fontRef>
    <cs:spPr>
      <a:ln w="9525" cap="flat" cmpd="sng" algn="ctr">
        <a:solidFill>
          <a:sysClr val="windowText" lastClr="000000">
            <a:lumMod val="15000"/>
            <a:lumOff val="85000"/>
          </a:sys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ysClr val="windowText" lastClr="000000"/>
    </cs:fontRef>
    <cs:spPr>
      <a:solidFill>
        <a:sysClr val="window" lastClr="FFFFFF"/>
      </a:solidFill>
      <a:ln w="9525" cap="flat" cmpd="sng" algn="ctr">
        <a:solidFill>
          <a:sysClr val="windowText" lastClr="000000">
            <a:lumMod val="15000"/>
            <a:lumOff val="85000"/>
          </a:sysClr>
        </a:solidFill>
        <a:round/>
      </a:ln>
    </cs:spPr>
    <cs:defRPr sz="1000" kern="1200"/>
  </cs:chartArea>
  <cs:dataLabel>
    <cs:lnRef idx="0"/>
    <cs:fillRef idx="0"/>
    <cs:effectRef idx="0"/>
    <cs:fontRef idx="minor">
      <a:sysClr val="windowText" lastClr="000000">
        <a:lumMod val="75000"/>
        <a:lumOff val="25000"/>
      </a:sysClr>
    </cs:fontRef>
    <cs:defRPr sz="900" kern="1200"/>
  </cs:dataLabel>
  <cs:dataLabelCallout>
    <cs:lnRef idx="0"/>
    <cs:fillRef idx="0"/>
    <cs:effectRef idx="0"/>
    <cs:fontRef idx="minor">
      <a:sysClr val="windowText" lastClr="000000">
        <a:lumMod val="65000"/>
        <a:lumOff val="35000"/>
      </a:sysClr>
    </cs:fontRef>
    <cs:spPr>
      <a:solidFill>
        <a:sysClr val="window" lastClr="FFFFFF"/>
      </a:solidFill>
      <a:ln>
        <a:solidFill>
          <a:sysClr val="windowText" lastClr="000000">
            <a:lumMod val="25000"/>
            <a:lumOff val="75000"/>
          </a:sys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ysClr val="windowText" lastClr="000000"/>
    </cs:fontRef>
  </cs:dataPoint>
  <cs:dataPoint3D>
    <cs:lnRef idx="0"/>
    <cs:fillRef idx="1">
      <cs:styleClr val="auto"/>
    </cs:fillRef>
    <cs:effectRef idx="0"/>
    <cs:fontRef idx="minor">
      <a:sysClr val="windowText" lastClr="000000"/>
    </cs:fontRef>
  </cs:dataPoint3D>
  <cs:dataPointLine>
    <cs:lnRef idx="0">
      <cs:styleClr val="auto"/>
    </cs:lnRef>
    <cs:fillRef idx="1"/>
    <cs:effectRef idx="0"/>
    <cs:fontRef idx="minor">
      <a:sysClr val="windowText" lastClr="000000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ysClr val="windowText" lastClr="000000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ysClr val="windowText" lastClr="000000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ysClr val="windowText" lastClr="000000">
        <a:lumMod val="65000"/>
        <a:lumOff val="35000"/>
      </a:sysClr>
    </cs:fontRef>
    <cs:spPr>
      <a:noFill/>
      <a:ln w="9525" cap="flat" cmpd="sng" algn="ctr">
        <a:solidFill>
          <a:sysClr val="windowText" lastClr="000000">
            <a:lumMod val="15000"/>
            <a:lumOff val="85000"/>
          </a:sysClr>
        </a:solidFill>
        <a:round/>
      </a:ln>
    </cs:spPr>
    <cs:defRPr sz="900" kern="1200"/>
  </cs:dataTable>
  <cs:downBar>
    <cs:lnRef idx="0"/>
    <cs:fillRef idx="0"/>
    <cs:effectRef idx="0"/>
    <cs:fontRef idx="minor">
      <a:sysClr val="windowText" lastClr="000000"/>
    </cs:fontRef>
    <cs:spPr>
      <a:solidFill>
        <a:sysClr val="windowText" lastClr="000000">
          <a:lumMod val="75000"/>
          <a:lumOff val="25000"/>
        </a:sysClr>
      </a:solidFill>
      <a:ln w="9525" cap="flat" cmpd="sng" algn="ctr">
        <a:solidFill>
          <a:sysClr val="windowText" lastClr="000000">
            <a:lumMod val="65000"/>
            <a:lumOff val="35000"/>
          </a:sysClr>
        </a:solidFill>
        <a:round/>
      </a:ln>
    </cs:spPr>
  </cs:downBar>
  <cs:dropLine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35000"/>
            <a:lumOff val="65000"/>
          </a:sysClr>
        </a:solidFill>
        <a:round/>
      </a:ln>
    </cs:spPr>
  </cs:dropLine>
  <cs:errorBar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65000"/>
            <a:lumOff val="35000"/>
          </a:sysClr>
        </a:solidFill>
        <a:round/>
      </a:ln>
    </cs:spPr>
  </cs:errorBar>
  <cs:floor>
    <cs:lnRef idx="0"/>
    <cs:fillRef idx="0"/>
    <cs:effectRef idx="0"/>
    <cs:fontRef idx="minor">
      <a:sysClr val="windowText" lastClr="000000"/>
    </cs:fontRef>
    <cs:spPr>
      <a:noFill/>
      <a:ln>
        <a:noFill/>
      </a:ln>
    </cs:spPr>
  </cs:floor>
  <cs:gridlineMajor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15000"/>
            <a:lumOff val="85000"/>
          </a:sysClr>
        </a:solidFill>
        <a:round/>
      </a:ln>
    </cs:spPr>
  </cs:gridlineMajor>
  <cs:gridlineMinor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5000"/>
            <a:lumOff val="95000"/>
          </a:sysClr>
        </a:solidFill>
        <a:round/>
      </a:ln>
    </cs:spPr>
  </cs:gridlineMinor>
  <cs:hiLoLine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50000"/>
            <a:lumOff val="50000"/>
          </a:sysClr>
        </a:solidFill>
        <a:round/>
      </a:ln>
    </cs:spPr>
  </cs:hiLoLine>
  <cs:leaderLine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35000"/>
            <a:lumOff val="65000"/>
          </a:sysClr>
        </a:solidFill>
        <a:round/>
      </a:ln>
    </cs:spPr>
  </cs:leaderLine>
  <cs:legend>
    <cs:lnRef idx="0"/>
    <cs:fillRef idx="0"/>
    <cs:effectRef idx="0"/>
    <cs:fontRef idx="minor">
      <a:sysClr val="windowText" lastClr="000000">
        <a:lumMod val="65000"/>
        <a:lumOff val="35000"/>
      </a:sysClr>
    </cs:fontRef>
    <cs:defRPr sz="900" kern="1200"/>
  </cs:legend>
  <cs:plotArea mods="allowNoFillOverride allowNoLineOverride">
    <cs:lnRef idx="0"/>
    <cs:fillRef idx="0"/>
    <cs:effectRef idx="0"/>
    <cs:fontRef idx="minor">
      <a:sysClr val="windowText" lastClr="000000"/>
    </cs:fontRef>
  </cs:plotArea>
  <cs:plotArea3D mods="allowNoFillOverride allowNoLineOverride">
    <cs:lnRef idx="0"/>
    <cs:fillRef idx="0"/>
    <cs:effectRef idx="0"/>
    <cs:fontRef idx="minor">
      <a:sysClr val="windowText" lastClr="000000"/>
    </cs:fontRef>
  </cs:plotArea3D>
  <cs:seriesAxis>
    <cs:lnRef idx="0"/>
    <cs:fillRef idx="0"/>
    <cs:effectRef idx="0"/>
    <cs:fontRef idx="minor">
      <a:sysClr val="windowText" lastClr="000000">
        <a:lumMod val="65000"/>
        <a:lumOff val="35000"/>
      </a:sysClr>
    </cs:fontRef>
    <cs:defRPr sz="900" kern="1200"/>
  </cs:seriesAxis>
  <cs:seriesLine>
    <cs:lnRef idx="0"/>
    <cs:fillRef idx="0"/>
    <cs:effectRef idx="0"/>
    <cs:fontRef idx="minor">
      <a:sysClr val="windowText" lastClr="000000"/>
    </cs:fontRef>
    <cs:spPr>
      <a:ln w="9525" cap="flat" cmpd="sng" algn="ctr">
        <a:solidFill>
          <a:sysClr val="windowText" lastClr="000000">
            <a:lumMod val="35000"/>
            <a:lumOff val="65000"/>
          </a:sysClr>
        </a:solidFill>
        <a:round/>
      </a:ln>
    </cs:spPr>
  </cs:seriesLine>
  <cs:title>
    <cs:lnRef idx="0"/>
    <cs:fillRef idx="0"/>
    <cs:effectRef idx="0"/>
    <cs:fontRef idx="minor">
      <a:sysClr val="windowText" lastClr="000000">
        <a:lumMod val="65000"/>
        <a:lumOff val="35000"/>
      </a:sys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ysClr val="windowText" lastClr="000000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ysClr val="windowText" lastClr="000000">
        <a:lumMod val="65000"/>
        <a:lumOff val="35000"/>
      </a:sysClr>
    </cs:fontRef>
    <cs:defRPr sz="900" kern="1200"/>
  </cs:trendlineLabel>
  <cs:upBar>
    <cs:lnRef idx="0"/>
    <cs:fillRef idx="0"/>
    <cs:effectRef idx="0"/>
    <cs:fontRef idx="minor">
      <a:sysClr val="windowText" lastClr="000000"/>
    </cs:fontRef>
    <cs:spPr>
      <a:solidFill>
        <a:sysClr val="window" lastClr="FFFFFF"/>
      </a:solidFill>
      <a:ln w="9525" cap="flat" cmpd="sng" algn="ctr">
        <a:solidFill>
          <a:sysClr val="windowText" lastClr="000000">
            <a:lumMod val="65000"/>
            <a:lumOff val="35000"/>
          </a:sysClr>
        </a:solidFill>
        <a:round/>
      </a:ln>
    </cs:spPr>
  </cs:upBar>
  <cs:valueAxis>
    <cs:lnRef idx="0"/>
    <cs:fillRef idx="0"/>
    <cs:effectRef idx="0"/>
    <cs:fontRef idx="minor">
      <a:sysClr val="windowText" lastClr="000000">
        <a:lumMod val="65000"/>
        <a:lumOff val="35000"/>
      </a:sysClr>
    </cs:fontRef>
    <cs:defRPr sz="900" kern="1200"/>
  </cs:valueAxis>
  <cs:wall>
    <cs:lnRef idx="0"/>
    <cs:fillRef idx="0"/>
    <cs:effectRef idx="0"/>
    <cs:fontRef idx="minor">
      <a:sysClr val="windowText" lastClr="000000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5054</Words>
  <Characters>5199</Characters>
  <Lines>0</Lines>
  <Paragraphs>0</Paragraphs>
  <TotalTime>4</TotalTime>
  <ScaleCrop>false</ScaleCrop>
  <LinksUpToDate>false</LinksUpToDate>
  <CharactersWithSpaces>5222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2020-07-02T08:37:00Z</dcterms:created>
  <dc:creator>Administrator</dc:creator>
  <cp:lastModifiedBy>深房中协—华洪</cp:lastModifiedBy>
  <dcterms:modified xsi:type="dcterms:W3CDTF">2020-07-10T02:30:43Z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