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715新政实施后深圳市二手房市场变化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市住建局：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我市715新政落地后，从收集到数据看，与历次调控政策发挥作用的节奏相一致，预计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7.15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调控影响将分两阶段梯次显现：第一阶段反映为成交量第一时间大幅度下跌，中介带看量明显下滑；第二阶段为政策消化期，一般自新政发布起2-6个月，其效应方逐步在房地产价格上体现。总体而言，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7.15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新政影响力预计将在今年国庆后才会完整显现。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一、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二手房市场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成交量下跌六成</w:t>
      </w:r>
    </w:p>
    <w:p>
      <w:pPr>
        <w:pStyle w:val="1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）全市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二手房网签量大幅下滑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深房中协根据深圳市住建局房地产信息平台预录网签合同数据分析（所谓网签量，系指在深圳市房地产信息平台在线预录入《深圳市二手房买卖合同》示范文本合同份数， 并非最终成交过户套数，因此网签数据时效性较强，更贴合实际市场成交走势），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7月15日新政后，深圳二手房网签量呈现断崖式下滑态势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，16日至19日期间，深圳二手房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日均网签133套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，相对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6月份日均450套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出现明显下滑。</w:t>
      </w:r>
    </w:p>
    <w:p>
      <w:pPr>
        <w:bidi w:val="0"/>
        <w:jc w:val="center"/>
      </w:pPr>
      <w:r>
        <w:drawing>
          <wp:inline distT="0" distB="0" distL="114300" distR="114300">
            <wp:extent cx="4572000" cy="2743200"/>
            <wp:effectExtent l="0" t="0" r="0" b="0"/>
            <wp:docPr id="1027" name="Image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 w:ascii="仿宋" w:hAnsi="仿宋" w:eastAsia="仿宋"/>
          <w:sz w:val="28"/>
        </w:rPr>
        <w:t>（数据来源：深房中协标准指数）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（二）行业龙头机构成交量下降61%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整体对比看，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政策前后机构成交量下滑幅度达61%。几大龙头机构日均合计成交量由政策前的463套，下降到政策后日均180套。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（注：此处是机构内部二手房成交数据，与市场网签数据存在时间差）</w:t>
      </w:r>
    </w:p>
    <w:tbl>
      <w:tblPr>
        <w:tblStyle w:val="9"/>
        <w:tblW w:w="762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"/>
        <w:gridCol w:w="1184"/>
        <w:gridCol w:w="1183"/>
        <w:gridCol w:w="1200"/>
        <w:gridCol w:w="1233"/>
        <w:gridCol w:w="189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76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7.15新政实施后二手房市场成交变化（套）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类别</w:t>
            </w:r>
          </w:p>
        </w:tc>
        <w:tc>
          <w:tcPr>
            <w:tcW w:w="23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新政前（7.10-14）</w:t>
            </w: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新政后（7.15-19）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成交环比变化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日均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日均</w:t>
            </w: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贝壳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897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179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448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90 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-50%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乐有家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624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125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181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36 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-71%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Q房网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391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78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25 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-68%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中原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402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80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29 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-64%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</w:rPr>
        <w:t>说明：收集的贝壳（含链家）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highlight w:val="none"/>
          <w:lang w:val="en-US" w:eastAsia="zh-CN"/>
        </w:rPr>
        <w:t>、乐有家、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</w:rPr>
        <w:t>Q房网、中原等龙头机构市场规模（地铺、人员）合计占深圳市场70%以上，反馈的信息具有行业代表性。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中介机构带看量大幅下滑50%</w:t>
      </w:r>
      <w:bookmarkStart w:id="0" w:name="_GoBack"/>
      <w:bookmarkEnd w:id="0"/>
    </w:p>
    <w:tbl>
      <w:tblPr>
        <w:tblStyle w:val="9"/>
        <w:tblW w:w="750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2514"/>
        <w:gridCol w:w="2514"/>
        <w:gridCol w:w="17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75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CD5B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7.15新政实施后二手房市场带看量变化（次）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类别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新政前（7.10-14）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新政后（7.15-19）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带看量环比变化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贝壳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3000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1500-1700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45%—50%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乐有家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1300-1400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30%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Q房网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1200-1500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600-700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50%—60%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中原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417"/>
              </w:tabs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1100-1300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417"/>
              </w:tabs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200-300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80%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美联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200-400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100-240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下降</w:t>
            </w:r>
            <w:r>
              <w:rPr>
                <w:rFonts w:hint="eastAsia" w:ascii="宋体" w:hAnsi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4"/>
                <w:szCs w:val="24"/>
                <w:u w:val="none"/>
                <w:lang w:val="en-US" w:eastAsia="zh-CN"/>
              </w:rPr>
              <w:t>40%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市场热点楼盘对外报价有涨有跌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新政发布后，各样本楼盘的报盘均价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虽有涨有跌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，但与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新政前普涨现象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形成了较大的反差。反映出新政在极短的时间内便对市场房价预期造成了影响，而深房中协预计，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市场对于新政的消化仍将持续2-3个月时间，甚至更长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，但随着新政效果的持续发酵，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卖方心态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将会发生变化，</w:t>
      </w:r>
      <w:r>
        <w:rPr>
          <w:rFonts w:hint="eastAsia" w:ascii="仿宋" w:hAnsi="仿宋" w:eastAsia="仿宋" w:cs="仿宋"/>
          <w:b/>
          <w:bCs/>
          <w:sz w:val="32"/>
          <w:szCs w:val="32"/>
          <w:em w:val="dot"/>
          <w:lang w:val="en-US" w:eastAsia="zh-CN"/>
        </w:rPr>
        <w:t>报盘价格的普遍下调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将会在随后时间里逐步呈现出来。</w:t>
      </w:r>
    </w:p>
    <w:tbl>
      <w:tblPr>
        <w:tblStyle w:val="9"/>
        <w:tblW w:w="8477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871"/>
        <w:gridCol w:w="1575"/>
        <w:gridCol w:w="1366"/>
        <w:gridCol w:w="1269"/>
        <w:gridCol w:w="1335"/>
        <w:gridCol w:w="150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区域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热点片区</w:t>
            </w:r>
          </w:p>
        </w:tc>
        <w:tc>
          <w:tcPr>
            <w:tcW w:w="2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基准参考项目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新政前（6.16采集）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新政后（7.20采集）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B8B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新政前后环比变化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热点楼盘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放盘平台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00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2"/>
                <w:lang w:val="en-US" w:eastAsia="zh-CN"/>
              </w:rPr>
              <w:t>该小区在当前平台</w:t>
            </w:r>
            <w:r>
              <w:rPr>
                <w:rStyle w:val="23"/>
                <w:lang w:val="en-US" w:eastAsia="zh-CN"/>
              </w:rPr>
              <w:t>平均报盘均价</w:t>
            </w:r>
            <w:r>
              <w:rPr>
                <w:rStyle w:val="22"/>
                <w:lang w:val="en-US" w:eastAsia="zh-CN"/>
              </w:rPr>
              <w:t>（元/平米）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CDDC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22"/>
                <w:lang w:val="en-US" w:eastAsia="zh-CN"/>
              </w:rPr>
              <w:t>该小区在当前平台</w:t>
            </w:r>
            <w:r>
              <w:rPr>
                <w:rStyle w:val="23"/>
                <w:lang w:val="en-US" w:eastAsia="zh-CN"/>
              </w:rPr>
              <w:t>平均报盘均价</w:t>
            </w:r>
            <w:r>
              <w:rPr>
                <w:rStyle w:val="22"/>
                <w:lang w:val="en-US" w:eastAsia="zh-CN"/>
              </w:rPr>
              <w:t>（元/平米）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6B8B7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该小区在当前平台</w:t>
            </w:r>
            <w:r>
              <w:rPr>
                <w:rStyle w:val="23"/>
                <w:lang w:val="en-US" w:eastAsia="zh-CN"/>
              </w:rPr>
              <w:t>平均报盘均价的前后变化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福田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香蜜湖片区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锦庐花园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197940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198851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199240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0.20%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197475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144821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-26.66%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196438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174318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-11.26%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竹园小区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132060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152961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15.83%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137778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131499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-4.56%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176704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130295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-26.26%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南山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红树林片区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红树西岸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151188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158147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4.60%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153846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160871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4.57%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151622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143161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135894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-5.08%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宝安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沙井片区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鸿荣源禧园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58972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61075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3.57%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55331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62913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13.70%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58778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46006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-21.73%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57021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55144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-3.29%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西乡片区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圣淘沙骏园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96113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97593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1.54%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102257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102807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0.54%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100923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100232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91773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-8.44%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龙华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上塘片区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特发和平里(1)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77756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79132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1.77%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76670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79533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3.73%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71171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68244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-4.11%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70046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74711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6.66%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龙岗</w:t>
            </w:r>
          </w:p>
        </w:tc>
        <w:tc>
          <w:tcPr>
            <w:tcW w:w="8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坂田片区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星河银湖谷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贝壳找房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87305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90258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3.38%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中原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87531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93593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6.93%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乐有家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92806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无房源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Q房网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87581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83784</w:t>
            </w:r>
          </w:p>
        </w:tc>
        <w:tc>
          <w:tcPr>
            <w:tcW w:w="1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B05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B050"/>
                <w:kern w:val="0"/>
                <w:sz w:val="20"/>
                <w:szCs w:val="20"/>
                <w:u w:val="none"/>
                <w:lang w:val="en-US" w:eastAsia="zh-CN"/>
              </w:rPr>
              <w:t>-4.34%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8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0"/>
                <w:szCs w:val="20"/>
                <w:u w:val="none"/>
                <w:lang w:val="en-US" w:eastAsia="zh-CN"/>
              </w:rPr>
              <w:t>备注：以上追踪楼盘不同时期最高报价房源不一定是同一套房源，不同平台最高报价房源不一定是同一套房源。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四、机构对后市预判，成交价稳中有降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贝壳：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新增挂牌房源下降20%，新增客源下降25%。新政前调价的业主中64%调涨的比例，到新政后，比例下降。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乐有家：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调挂盘价的房源仅占极少数，可忽略不计，市场整体挂盘价格并未下跌反有微涨。多数业主持观望心态，不急售不降价。各区实际成交价格中环比上涨的有4个，分别是罗湖、福田、宝安与光明（光明成交量少，价格波动大）。其余区除大鹏无成交外，均为下滑。全市整体成交价微微下跌不到1%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Q房网：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买卖双方均有观望的情绪，目前看房的客户基本上是刚性需求。部分卖方（业主）将出售房源下架、业主惜售，双拼房报价下降，满五唯一住宅报价上浮。个别小区的在售房源价格回落、小部分业主新政前后价格出现5%左右的回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中原：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市场放盘量下降了很多，业主观望情绪加重。挂牌价整体变化不大，部分业主下调5%。实际成交价变化不大，部分小幅下降5%左右。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美联：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目前还未出现放盘价大幅下调案例，整体比较稳定；二手实际成交价格基本持平。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深房中协预计，随着新政效果的逐渐显现，短期内，深圳二手房成交量将会较长时间保持低位运行态势，长远看，待调整结束后，成交价会有所回落。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701" w:bottom="1588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w:pict>
        <v:shape id="4097" o:spid="_x0000_s4097" o:spt="75" type="#_x0000_t75" style="position:absolute;left:0pt;margin-top:0pt;height:144pt;width:144pt;mso-position-horizontal:center;mso-position-horizontal-relative:margin;mso-wrap-style:none;z-index:1024;mso-width-relative:page;mso-height-relative:page;" o:ole="t" filled="f" stroked="f" coordsize="21600,21600">
          <v:path/>
          <v:fill on="f" focussize="0,0"/>
          <v:stroke on="f"/>
          <v:imagedata o:title=""/>
          <o:lock v:ext="edit" aspectratio="t"/>
          <v:textbox inset="0mm,0mm,0mm,0mm" style="mso-fit-shape-to-text:t;">
            <w:txbxContent>
              <w:p>
                <w:pPr>
                  <w:pStyle w:val="6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  <o:OLEObject Type="Embed" ProgID="Excel.Chart.8" ShapeID="4097" DrawAspect="Content" ObjectID="_1468075725" r:id="rId1">
          <o:LockedField>false</o:LockedField>
        </o:OLEObj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000000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03F3A0A"/>
    <w:rsid w:val="0B585D60"/>
    <w:rsid w:val="0CE3780C"/>
    <w:rsid w:val="121C5B07"/>
    <w:rsid w:val="14943F81"/>
    <w:rsid w:val="16D77676"/>
    <w:rsid w:val="1BBB2515"/>
    <w:rsid w:val="2662634E"/>
    <w:rsid w:val="2A7E75F0"/>
    <w:rsid w:val="33786667"/>
    <w:rsid w:val="350D58F3"/>
    <w:rsid w:val="39EB26C3"/>
    <w:rsid w:val="43F55BEA"/>
    <w:rsid w:val="45F43E7C"/>
    <w:rsid w:val="466A6714"/>
    <w:rsid w:val="48471899"/>
    <w:rsid w:val="4D6F56C4"/>
    <w:rsid w:val="55AA2C10"/>
    <w:rsid w:val="56150D48"/>
    <w:rsid w:val="572E2FD7"/>
    <w:rsid w:val="57E24C5B"/>
    <w:rsid w:val="59171BFF"/>
    <w:rsid w:val="5C326049"/>
    <w:rsid w:val="5CE109B7"/>
    <w:rsid w:val="61402FF1"/>
    <w:rsid w:val="62D53BB6"/>
    <w:rsid w:val="69B32976"/>
    <w:rsid w:val="6C192187"/>
    <w:rsid w:val="6E971F03"/>
    <w:rsid w:val="73671101"/>
    <w:rsid w:val="78637355"/>
    <w:rsid w:val="7E6E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jc w:val="left"/>
    </w:pPr>
  </w:style>
  <w:style w:type="paragraph" w:styleId="4">
    <w:name w:val="Date"/>
    <w:basedOn w:val="1"/>
    <w:next w:val="1"/>
    <w:link w:val="20"/>
    <w:qFormat/>
    <w:uiPriority w:val="99"/>
    <w:pPr>
      <w:ind w:left="100" w:leftChars="2500"/>
    </w:pPr>
  </w:style>
  <w:style w:type="paragraph" w:styleId="5">
    <w:name w:val="Balloon Text"/>
    <w:basedOn w:val="1"/>
    <w:link w:val="21"/>
    <w:qFormat/>
    <w:uiPriority w:val="99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20"/>
    <w:rPr>
      <w:i/>
      <w:iCs/>
    </w:rPr>
  </w:style>
  <w:style w:type="character" w:styleId="13">
    <w:name w:val="Hyperlink"/>
    <w:basedOn w:val="10"/>
    <w:qFormat/>
    <w:uiPriority w:val="99"/>
    <w:rPr>
      <w:color w:val="0000FF"/>
      <w:u w:val="single"/>
    </w:rPr>
  </w:style>
  <w:style w:type="character" w:styleId="14">
    <w:name w:val="annotation reference"/>
    <w:basedOn w:val="10"/>
    <w:qFormat/>
    <w:uiPriority w:val="99"/>
    <w:rPr>
      <w:sz w:val="21"/>
      <w:szCs w:val="21"/>
    </w:rPr>
  </w:style>
  <w:style w:type="character" w:customStyle="1" w:styleId="15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6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apple-converted-space"/>
    <w:basedOn w:val="10"/>
    <w:qFormat/>
    <w:uiPriority w:val="0"/>
  </w:style>
  <w:style w:type="character" w:customStyle="1" w:styleId="20">
    <w:name w:val="日期 Char"/>
    <w:basedOn w:val="10"/>
    <w:link w:val="4"/>
    <w:qFormat/>
    <w:uiPriority w:val="99"/>
    <w:rPr>
      <w:rFonts w:ascii="Calibri" w:hAnsi="Calibri" w:eastAsia="宋体" w:cs="宋体"/>
      <w:kern w:val="2"/>
      <w:sz w:val="21"/>
      <w:szCs w:val="22"/>
    </w:rPr>
  </w:style>
  <w:style w:type="character" w:customStyle="1" w:styleId="21">
    <w:name w:val="批注框文本 Char"/>
    <w:basedOn w:val="10"/>
    <w:link w:val="5"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22">
    <w:name w:val="font21"/>
    <w:basedOn w:val="10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23">
    <w:name w:val="font11"/>
    <w:basedOn w:val="10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oleObject" Target="embeddings/oleObject1.bin"/></Relationships>
</file>

<file path=word/charts/_rels/chart1.xml.rels><?xml version="1.0" encoding="UTF-8" standalone="yes"?>
<Relationships xmlns="http://schemas.openxmlformats.org/package/2006/relationships"><Relationship Id="rId4" Type="http://schemas.microsoft.com/office/2011/relationships/chartColorStyle" Target="colors1.xml"/><Relationship Id="rId3" Type="http://schemas.microsoft.com/office/2011/relationships/chartStyle" Target="style1.xml"/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&#28145;&#25151;&#20013;&#21327;&#21608;&#34893;&#27743;\Desktop\20200721&#26032;&#25919;&#20998;&#26512;\&#20998;&#26512;&#25968;&#254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b="1">
                <a:solidFill>
                  <a:schemeClr val="tx1"/>
                </a:solidFill>
              </a:rPr>
              <a:t>深圳近</a:t>
            </a:r>
            <a:r>
              <a:rPr lang="en-US" altLang="zh-CN" b="1">
                <a:solidFill>
                  <a:schemeClr val="tx1"/>
                </a:solidFill>
              </a:rPr>
              <a:t>10</a:t>
            </a:r>
            <a:r>
              <a:rPr altLang="en-US" b="1">
                <a:solidFill>
                  <a:schemeClr val="tx1"/>
                </a:solidFill>
              </a:rPr>
              <a:t>日单日</a:t>
            </a:r>
            <a:r>
              <a:rPr b="1">
                <a:solidFill>
                  <a:schemeClr val="tx1"/>
                </a:solidFill>
              </a:rPr>
              <a:t>二手房网签走势</a:t>
            </a:r>
            <a:endParaRPr b="1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228333333333333"/>
          <c:y val="0.0243055555555556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[分析数据.xlsx]Sheet1!$C$16</c:f>
              <c:strCache>
                <c:ptCount val="1"/>
                <c:pt idx="0">
                  <c:v>二手房网签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[分析数据.xlsx]Sheet1!$B$17:$B$26</c:f>
              <c:numCache>
                <c:formatCode>yyyy/m/d</c:formatCode>
                <c:ptCount val="10"/>
                <c:pt idx="0" c:formatCode="yyyy/m/d">
                  <c:v>44022</c:v>
                </c:pt>
                <c:pt idx="1" c:formatCode="yyyy/m/d">
                  <c:v>44023</c:v>
                </c:pt>
                <c:pt idx="2" c:formatCode="yyyy/m/d">
                  <c:v>44024</c:v>
                </c:pt>
                <c:pt idx="3" c:formatCode="yyyy/m/d">
                  <c:v>44025</c:v>
                </c:pt>
                <c:pt idx="4" c:formatCode="yyyy/m/d">
                  <c:v>44026</c:v>
                </c:pt>
                <c:pt idx="5" c:formatCode="yyyy/m/d">
                  <c:v>44027</c:v>
                </c:pt>
                <c:pt idx="6" c:formatCode="yyyy/m/d">
                  <c:v>44028</c:v>
                </c:pt>
                <c:pt idx="7" c:formatCode="yyyy/m/d">
                  <c:v>44029</c:v>
                </c:pt>
                <c:pt idx="8" c:formatCode="yyyy/m/d">
                  <c:v>44030</c:v>
                </c:pt>
                <c:pt idx="9" c:formatCode="yyyy/m/d">
                  <c:v>44031</c:v>
                </c:pt>
              </c:numCache>
            </c:numRef>
          </c:cat>
          <c:val>
            <c:numRef>
              <c:f>[分析数据.xlsx]Sheet1!$C$17:$C$26</c:f>
              <c:numCache>
                <c:formatCode>General</c:formatCode>
                <c:ptCount val="10"/>
                <c:pt idx="0">
                  <c:v>1096</c:v>
                </c:pt>
                <c:pt idx="1">
                  <c:v>406</c:v>
                </c:pt>
                <c:pt idx="2">
                  <c:v>663</c:v>
                </c:pt>
                <c:pt idx="3">
                  <c:v>1107</c:v>
                </c:pt>
                <c:pt idx="4">
                  <c:v>1784</c:v>
                </c:pt>
                <c:pt idx="5">
                  <c:v>1720</c:v>
                </c:pt>
                <c:pt idx="6">
                  <c:v>217</c:v>
                </c:pt>
                <c:pt idx="7">
                  <c:v>180</c:v>
                </c:pt>
                <c:pt idx="8">
                  <c:v>55</c:v>
                </c:pt>
                <c:pt idx="9">
                  <c:v>80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23183622"/>
        <c:axId val="659591984"/>
      </c:barChart>
      <c:dateAx>
        <c:axId val="32318362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659591984"/>
        <c:crosses val="autoZero"/>
        <c:auto val="1"/>
        <c:lblOffset val="100"/>
        <c:baseTimeUnit val="days"/>
      </c:dateAx>
      <c:valAx>
        <c:axId val="659591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23183622"/>
        <c:crosses val="autoZero"/>
        <c:crossBetween val="between"/>
        <c:majorUnit val="4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0.145833333333333</cdr:x>
      <cdr:y>0.0763888888888889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666750" cy="20955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horzOverflow="clip" vert="horz" wrap="square" lIns="45720" tIns="45720" rIns="45720" bIns="45720" rtlCol="0" anchor="t" anchorCtr="0">
          <a:normAutofit/>
        </a:bodyPr>
        <a:p>
          <a:r>
            <a:rPr lang="zh-CN" altLang="en-US" sz="900">
              <a:solidFill>
                <a:schemeClr val="tx1"/>
              </a:solidFill>
            </a:rPr>
            <a:t>单位：套</a:t>
          </a:r>
          <a:endParaRPr lang="zh-CN" altLang="en-US" sz="900">
            <a:solidFill>
              <a:schemeClr val="tx1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6673F7-8838-4F64-89A7-B3C4A34595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1765</Words>
  <Characters>2243</Characters>
  <Paragraphs>344</Paragraphs>
  <TotalTime>0</TotalTime>
  <ScaleCrop>false</ScaleCrop>
  <LinksUpToDate>false</LinksUpToDate>
  <CharactersWithSpaces>2252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2018-11-21T01:56:00Z</dcterms:created>
  <dc:creator>huah</dc:creator>
  <cp:lastModifiedBy>深房中协—华洪</cp:lastModifiedBy>
  <cp:lastPrinted>2019-07-25T01:26:00Z</cp:lastPrinted>
  <dcterms:modified xsi:type="dcterms:W3CDTF">2020-07-22T01:56:48Z</dcterms:modified>
  <cp:revision>9133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