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lang w:val="en-US" w:eastAsia="zh-CN"/>
        </w:rPr>
      </w:pPr>
      <w:r>
        <w:rPr>
          <w:rFonts w:hint="eastAsia" w:ascii="黑体" w:hAnsi="黑体" w:eastAsia="黑体" w:cs="黑体"/>
          <w:b/>
          <w:bCs/>
          <w:sz w:val="44"/>
          <w:szCs w:val="44"/>
          <w:lang w:val="en-US" w:eastAsia="zh-CN"/>
        </w:rPr>
        <w:t>楼市“虚火”，咱中介行业不背这个锅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自复工以来</w:t>
      </w:r>
      <w:r>
        <w:rPr>
          <w:rFonts w:hint="eastAsia" w:ascii="仿宋" w:hAnsi="仿宋" w:eastAsia="仿宋" w:cs="仿宋"/>
          <w:b w:val="0"/>
          <w:i w:val="0"/>
          <w:caps w:val="0"/>
          <w:color w:val="000000"/>
          <w:spacing w:val="0"/>
          <w:sz w:val="31"/>
          <w:szCs w:val="31"/>
        </w:rPr>
        <w:t>深圳楼市</w:t>
      </w:r>
      <w:r>
        <w:rPr>
          <w:rFonts w:hint="eastAsia" w:ascii="仿宋" w:hAnsi="仿宋" w:eastAsia="仿宋" w:cs="仿宋"/>
          <w:b w:val="0"/>
          <w:i w:val="0"/>
          <w:caps w:val="0"/>
          <w:color w:val="000000"/>
          <w:spacing w:val="0"/>
          <w:sz w:val="31"/>
          <w:szCs w:val="31"/>
          <w:lang w:eastAsia="zh-CN"/>
        </w:rPr>
        <w:t>的</w:t>
      </w:r>
      <w:r>
        <w:rPr>
          <w:rFonts w:hint="eastAsia" w:ascii="仿宋" w:hAnsi="仿宋" w:eastAsia="仿宋" w:cs="仿宋"/>
          <w:b w:val="0"/>
          <w:i w:val="0"/>
          <w:caps w:val="0"/>
          <w:color w:val="000000"/>
          <w:spacing w:val="0"/>
          <w:sz w:val="31"/>
          <w:szCs w:val="31"/>
        </w:rPr>
        <w:t>恢</w:t>
      </w:r>
      <w:r>
        <w:rPr>
          <w:rFonts w:hint="eastAsia" w:ascii="仿宋" w:hAnsi="仿宋" w:eastAsia="仿宋" w:cs="仿宋"/>
          <w:sz w:val="32"/>
          <w:szCs w:val="32"/>
          <w:lang w:val="en-US" w:eastAsia="zh-CN"/>
        </w:rPr>
        <w:t>复情况好于预期，但期间，在投机炒作机构的指示下，部分不负责任的自媒体与个别违规的房地产中介人员共同炒作下，深圳部分热点片区的部分房源报价，短时间内出现了异常上涨现象。就此，深房中协早在4月17日便向社会及全行业发布了《协会来了之关于深圳近期“火热”市场的解读》（详情可查阅协会微信公众号往期回顾），对深圳此轮楼市“虚火”表象下的深层次原因进行了深度剖析与解读。事实上，深圳房地产中介真的在此轮行情中推波助澜，坐收了渔利吗？那我们还真的坐下来掰扯掰扯。</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both"/>
        <w:textAlignment w:val="auto"/>
        <w:rPr>
          <w:rFonts w:hint="eastAsia" w:ascii="仿宋" w:hAnsi="仿宋" w:eastAsia="仿宋" w:cs="仿宋"/>
          <w:sz w:val="32"/>
          <w:szCs w:val="32"/>
          <w:lang w:val="en-US" w:eastAsia="zh-CN"/>
        </w:rPr>
      </w:pPr>
      <w:r>
        <w:drawing>
          <wp:anchor distT="0" distB="0" distL="114300" distR="114300" simplePos="0" relativeHeight="251664384" behindDoc="0" locked="0" layoutInCell="1" allowOverlap="1">
            <wp:simplePos x="0" y="0"/>
            <wp:positionH relativeFrom="column">
              <wp:posOffset>2087245</wp:posOffset>
            </wp:positionH>
            <wp:positionV relativeFrom="paragraph">
              <wp:posOffset>45085</wp:posOffset>
            </wp:positionV>
            <wp:extent cx="1489075" cy="1727200"/>
            <wp:effectExtent l="0" t="0" r="0" b="0"/>
            <wp:wrapTight wrapText="bothSides">
              <wp:wrapPolygon>
                <wp:start x="0" y="0"/>
                <wp:lineTo x="0" y="21441"/>
                <wp:lineTo x="21278" y="21441"/>
                <wp:lineTo x="21278" y="0"/>
                <wp:lineTo x="0" y="0"/>
              </wp:wrapPolygon>
            </wp:wrapTight>
            <wp:docPr id="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
                    <pic:cNvPicPr>
                      <a:picLocks noChangeAspect="1"/>
                    </pic:cNvPicPr>
                  </pic:nvPicPr>
                  <pic:blipFill>
                    <a:blip r:embed="rId4"/>
                    <a:stretch>
                      <a:fillRect/>
                    </a:stretch>
                  </pic:blipFill>
                  <pic:spPr>
                    <a:xfrm>
                      <a:off x="0" y="0"/>
                      <a:ext cx="1489075" cy="172720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一、真实的市场并非想象中“火爆”</w:t>
      </w:r>
    </w:p>
    <w:p>
      <w:pPr>
        <w:keepNext w:val="0"/>
        <w:keepLines w:val="0"/>
        <w:pageBreakBefore w:val="0"/>
        <w:widowControl w:val="0"/>
        <w:kinsoku/>
        <w:wordWrap/>
        <w:overflowPunct/>
        <w:topLinePunct w:val="0"/>
        <w:autoSpaceDE/>
        <w:autoSpaceDN/>
        <w:bidi w:val="0"/>
        <w:adjustRightInd/>
        <w:snapToGrid/>
        <w:spacing w:line="560" w:lineRule="exact"/>
        <w:ind w:firstLine="620" w:firstLineChars="200"/>
        <w:jc w:val="both"/>
        <w:textAlignment w:val="auto"/>
        <w:rPr>
          <w:rFonts w:hint="eastAsia" w:ascii="仿宋" w:hAnsi="仿宋" w:eastAsia="仿宋" w:cs="仿宋"/>
          <w:sz w:val="32"/>
          <w:szCs w:val="32"/>
          <w:lang w:eastAsia="zh-CN"/>
        </w:rPr>
      </w:pPr>
      <w:r>
        <w:rPr>
          <w:rFonts w:hint="eastAsia" w:ascii="仿宋" w:hAnsi="仿宋" w:eastAsia="仿宋" w:cs="仿宋"/>
          <w:b w:val="0"/>
          <w:i w:val="0"/>
          <w:caps w:val="0"/>
          <w:color w:val="000000"/>
          <w:spacing w:val="0"/>
          <w:sz w:val="31"/>
          <w:szCs w:val="31"/>
          <w:lang w:val="en-US" w:eastAsia="zh-CN"/>
        </w:rPr>
        <w:t>根据深房中协跟踪的网签数据显示，</w:t>
      </w:r>
      <w:r>
        <w:rPr>
          <w:rFonts w:hint="eastAsia" w:ascii="仿宋" w:hAnsi="仿宋" w:eastAsia="仿宋" w:cs="仿宋"/>
          <w:b/>
          <w:bCs/>
          <w:i w:val="0"/>
          <w:caps w:val="0"/>
          <w:color w:val="000000"/>
          <w:spacing w:val="0"/>
          <w:sz w:val="31"/>
          <w:szCs w:val="31"/>
          <w:em w:val="dot"/>
          <w:lang w:val="en-US" w:eastAsia="zh-CN"/>
        </w:rPr>
        <w:t>自第16周以来，全市二手房网签</w:t>
      </w:r>
      <w:r>
        <w:rPr>
          <w:rFonts w:hint="eastAsia" w:ascii="仿宋" w:hAnsi="仿宋" w:eastAsia="仿宋" w:cs="仿宋"/>
          <w:b/>
          <w:bCs/>
          <w:sz w:val="32"/>
          <w:szCs w:val="32"/>
          <w:em w:val="dot"/>
          <w:lang w:eastAsia="zh-CN"/>
        </w:rPr>
        <w:t>量（在深圳市房地产信息系统在线签订《深圳市二手房买卖合同》示范文本合同份数）</w:t>
      </w:r>
      <w:r>
        <w:rPr>
          <w:rFonts w:hint="eastAsia" w:ascii="仿宋" w:hAnsi="仿宋" w:eastAsia="仿宋" w:cs="仿宋"/>
          <w:b/>
          <w:bCs/>
          <w:i w:val="0"/>
          <w:caps w:val="0"/>
          <w:color w:val="000000"/>
          <w:spacing w:val="0"/>
          <w:sz w:val="31"/>
          <w:szCs w:val="31"/>
          <w:em w:val="dot"/>
          <w:lang w:val="en-US" w:eastAsia="zh-CN"/>
        </w:rPr>
        <w:t>一直呈现持续下降态势。</w:t>
      </w:r>
      <w:r>
        <w:rPr>
          <w:rFonts w:hint="eastAsia" w:ascii="仿宋" w:hAnsi="仿宋" w:eastAsia="仿宋" w:cs="仿宋"/>
          <w:b w:val="0"/>
          <w:i w:val="0"/>
          <w:caps w:val="0"/>
          <w:color w:val="000000"/>
          <w:spacing w:val="0"/>
          <w:sz w:val="31"/>
          <w:szCs w:val="31"/>
          <w:lang w:val="en-US" w:eastAsia="zh-CN"/>
        </w:rPr>
        <w:t>而此前业内某机构所公布的第20周我市一手、二手住宅成交量分别环比大涨54%与83%的数据，是</w:t>
      </w:r>
      <w:r>
        <w:rPr>
          <w:rFonts w:hint="eastAsia" w:ascii="仿宋" w:hAnsi="仿宋" w:eastAsia="仿宋" w:cs="仿宋"/>
          <w:sz w:val="32"/>
          <w:szCs w:val="32"/>
          <w:lang w:eastAsia="zh-CN"/>
        </w:rPr>
        <w:t>来源于市房地产信息平台所公布的</w:t>
      </w:r>
      <w:r>
        <w:rPr>
          <w:rFonts w:hint="eastAsia" w:ascii="仿宋" w:hAnsi="仿宋" w:eastAsia="仿宋" w:cs="仿宋"/>
          <w:b/>
          <w:bCs/>
          <w:sz w:val="32"/>
          <w:szCs w:val="32"/>
          <w:em w:val="dot"/>
          <w:lang w:eastAsia="zh-CN"/>
        </w:rPr>
        <w:t>完成产权过户登记的数据（俗称备案数据）</w:t>
      </w:r>
      <w:r>
        <w:rPr>
          <w:rFonts w:hint="eastAsia" w:ascii="仿宋" w:hAnsi="仿宋" w:eastAsia="仿宋" w:cs="仿宋"/>
          <w:sz w:val="32"/>
          <w:szCs w:val="32"/>
          <w:lang w:eastAsia="zh-CN"/>
        </w:rPr>
        <w:t>，该数据与客户双方签署正式成交合同之间存在近1个月左右的滞后，只是反映市场交易状况的可参考数据之一。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bCs/>
          <w:sz w:val="32"/>
          <w:szCs w:val="32"/>
          <w:em w:val="dot"/>
          <w:lang w:val="en-US" w:eastAsia="zh-CN"/>
        </w:rPr>
      </w:pPr>
      <w:r>
        <w:rPr>
          <w:rFonts w:hint="eastAsia" w:ascii="仿宋" w:hAnsi="仿宋" w:eastAsia="仿宋" w:cs="仿宋"/>
          <w:sz w:val="32"/>
          <w:szCs w:val="32"/>
          <w:lang w:eastAsia="zh-CN"/>
        </w:rPr>
        <w:t>因此，从网签数据可以清晰的看出，</w:t>
      </w:r>
      <w:r>
        <w:rPr>
          <w:rFonts w:hint="eastAsia" w:ascii="仿宋" w:hAnsi="仿宋" w:eastAsia="仿宋" w:cs="仿宋"/>
          <w:b w:val="0"/>
          <w:i w:val="0"/>
          <w:caps w:val="0"/>
          <w:color w:val="000000"/>
          <w:spacing w:val="0"/>
          <w:sz w:val="31"/>
          <w:szCs w:val="31"/>
          <w:lang w:val="en-US" w:eastAsia="zh-CN"/>
        </w:rPr>
        <w:t>短期内深圳楼市的成交量的确出现了一轮快速攀升的行情，</w:t>
      </w:r>
      <w:r>
        <w:rPr>
          <w:rFonts w:hint="eastAsia" w:ascii="仿宋" w:hAnsi="仿宋" w:eastAsia="仿宋" w:cs="仿宋"/>
          <w:b/>
          <w:bCs/>
          <w:sz w:val="32"/>
          <w:szCs w:val="32"/>
          <w:em w:val="dot"/>
          <w:lang w:val="en-US" w:eastAsia="zh-CN"/>
        </w:rPr>
        <w:t>但这一波行情非常短暂</w:t>
      </w:r>
      <w:r>
        <w:rPr>
          <w:rFonts w:hint="eastAsia" w:ascii="仿宋" w:hAnsi="仿宋" w:eastAsia="仿宋" w:cs="仿宋"/>
          <w:b w:val="0"/>
          <w:i w:val="0"/>
          <w:caps w:val="0"/>
          <w:color w:val="000000"/>
          <w:spacing w:val="0"/>
          <w:sz w:val="31"/>
          <w:szCs w:val="31"/>
          <w:lang w:val="en-US" w:eastAsia="zh-CN"/>
        </w:rPr>
        <w:t>，这其中既有部分“热炒”行为的推动，也有因疫情与传统春节叠加积压下的刚需，在四月份予以了集中释放所致，但这种行情却并不持久。</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both"/>
        <w:textAlignment w:val="auto"/>
        <w:rPr>
          <w:rFonts w:hint="eastAsia" w:ascii="仿宋" w:hAnsi="仿宋" w:eastAsia="仿宋" w:cs="仿宋"/>
          <w:b/>
          <w:bCs/>
          <w:sz w:val="32"/>
          <w:szCs w:val="32"/>
          <w:em w:val="dot"/>
          <w:lang w:val="en-US" w:eastAsia="zh-CN"/>
        </w:rPr>
      </w:pPr>
      <w:r>
        <w:drawing>
          <wp:anchor distT="0" distB="0" distL="114300" distR="114300" simplePos="0" relativeHeight="251666432" behindDoc="0" locked="0" layoutInCell="1" allowOverlap="1">
            <wp:simplePos x="0" y="0"/>
            <wp:positionH relativeFrom="column">
              <wp:posOffset>1590040</wp:posOffset>
            </wp:positionH>
            <wp:positionV relativeFrom="paragraph">
              <wp:posOffset>76835</wp:posOffset>
            </wp:positionV>
            <wp:extent cx="2509520" cy="2004060"/>
            <wp:effectExtent l="0" t="0" r="0" b="0"/>
            <wp:wrapTight wrapText="bothSides">
              <wp:wrapPolygon>
                <wp:start x="0" y="0"/>
                <wp:lineTo x="0" y="21354"/>
                <wp:lineTo x="21480" y="21354"/>
                <wp:lineTo x="21480" y="0"/>
                <wp:lineTo x="0" y="0"/>
              </wp:wrapPolygon>
            </wp:wrapTight>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5"/>
                    <a:stretch>
                      <a:fillRect/>
                    </a:stretch>
                  </pic:blipFill>
                  <pic:spPr>
                    <a:xfrm>
                      <a:off x="0" y="0"/>
                      <a:ext cx="2509520" cy="200406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sz w:val="32"/>
          <w:szCs w:val="32"/>
          <w:em w:val="dot"/>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sz w:val="32"/>
          <w:szCs w:val="32"/>
          <w:em w:val="dot"/>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sz w:val="32"/>
          <w:szCs w:val="32"/>
          <w:em w:val="dot"/>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sz w:val="32"/>
          <w:szCs w:val="32"/>
          <w:em w:val="dot"/>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二、“热炒”行情百害无一利，房地产中介机构积极配合行业治理工作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em w:val="dot"/>
          <w:lang w:val="en-US" w:eastAsia="zh-CN"/>
        </w:rPr>
        <w:t>可以说，“热炒”的行情必然导致短期内楼市的“大起大落”，因为这会提前透支未来的市场需求，导致“行情”过后市场快速“萎缩”，</w:t>
      </w:r>
      <w:r>
        <w:rPr>
          <w:rFonts w:hint="eastAsia" w:ascii="仿宋" w:hAnsi="仿宋" w:eastAsia="仿宋" w:cs="仿宋"/>
          <w:sz w:val="32"/>
          <w:szCs w:val="32"/>
          <w:lang w:val="en-US" w:eastAsia="zh-CN"/>
        </w:rPr>
        <w:t>不仅损害了消费者权益，也同样伤害了行业发展根基。</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正是基于这种认识，深圳市房地产中介行业自4月份起，便积极密切配合行业主管部门开展的相关楼市治理工作。期间我市广大房地产合法合规中介机构，积极主动向主管部门与深房中协爆料市场背后各种参与“炒作”的线索，以及无保留地提供机构所在片区内真实的挂盘与成交数据，同时各房地产中介机构还主动检查各自网络平台以及地铺门店挂盘的房源信息，对部分涉及不符合规范的高报价房源予以了清理，并就房源挂盘委托等一系列工作，制定了符合当前楼市专项治理规范要求的管理机制。最终，在5月22日顺利通过了市住建局开展的针对全市二手房挂牌价的专项检查工作。</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both"/>
        <w:textAlignment w:val="auto"/>
        <w:rPr>
          <w:rFonts w:hint="eastAsia" w:ascii="仿宋" w:hAnsi="仿宋" w:eastAsia="仿宋" w:cs="仿宋"/>
          <w:sz w:val="32"/>
          <w:szCs w:val="32"/>
          <w:lang w:val="en-US" w:eastAsia="zh-CN"/>
        </w:rPr>
      </w:pPr>
      <w:r>
        <w:drawing>
          <wp:anchor distT="0" distB="0" distL="114300" distR="114300" simplePos="0" relativeHeight="251676672" behindDoc="1" locked="0" layoutInCell="1" allowOverlap="1">
            <wp:simplePos x="0" y="0"/>
            <wp:positionH relativeFrom="column">
              <wp:posOffset>3808730</wp:posOffset>
            </wp:positionH>
            <wp:positionV relativeFrom="paragraph">
              <wp:posOffset>43815</wp:posOffset>
            </wp:positionV>
            <wp:extent cx="1454150" cy="1712595"/>
            <wp:effectExtent l="0" t="0" r="50800" b="40005"/>
            <wp:wrapTight wrapText="bothSides">
              <wp:wrapPolygon>
                <wp:start x="0" y="0"/>
                <wp:lineTo x="0" y="21384"/>
                <wp:lineTo x="21223" y="21384"/>
                <wp:lineTo x="21223" y="0"/>
                <wp:lineTo x="0" y="0"/>
              </wp:wrapPolygon>
            </wp:wrapTight>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6"/>
                    <a:stretch>
                      <a:fillRect/>
                    </a:stretch>
                  </pic:blipFill>
                  <pic:spPr>
                    <a:xfrm>
                      <a:off x="0" y="0"/>
                      <a:ext cx="1454150" cy="1712595"/>
                    </a:xfrm>
                    <a:prstGeom prst="rect">
                      <a:avLst/>
                    </a:prstGeom>
                    <a:noFill/>
                    <a:ln>
                      <a:noFill/>
                    </a:ln>
                  </pic:spPr>
                </pic:pic>
              </a:graphicData>
            </a:graphic>
          </wp:anchor>
        </w:drawing>
      </w:r>
      <w:r>
        <w:drawing>
          <wp:anchor distT="0" distB="0" distL="114300" distR="114300" simplePos="0" relativeHeight="251674624" behindDoc="1" locked="0" layoutInCell="1" allowOverlap="1">
            <wp:simplePos x="0" y="0"/>
            <wp:positionH relativeFrom="column">
              <wp:posOffset>693420</wp:posOffset>
            </wp:positionH>
            <wp:positionV relativeFrom="paragraph">
              <wp:posOffset>57150</wp:posOffset>
            </wp:positionV>
            <wp:extent cx="1613535" cy="1687195"/>
            <wp:effectExtent l="0" t="0" r="5715" b="8255"/>
            <wp:wrapTight wrapText="bothSides">
              <wp:wrapPolygon>
                <wp:start x="0" y="0"/>
                <wp:lineTo x="0" y="21462"/>
                <wp:lineTo x="21421" y="21462"/>
                <wp:lineTo x="21421" y="0"/>
                <wp:lineTo x="0" y="0"/>
              </wp:wrapPolygon>
            </wp:wrapTight>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7"/>
                    <a:stretch>
                      <a:fillRect/>
                    </a:stretch>
                  </pic:blipFill>
                  <pic:spPr>
                    <a:xfrm>
                      <a:off x="0" y="0"/>
                      <a:ext cx="1613535" cy="1687195"/>
                    </a:xfrm>
                    <a:prstGeom prst="rect">
                      <a:avLst/>
                    </a:prstGeom>
                    <a:noFill/>
                    <a:ln>
                      <a:noFill/>
                    </a:ln>
                  </pic:spPr>
                </pic:pic>
              </a:graphicData>
            </a:graphic>
          </wp:anchor>
        </w:drawing>
      </w:r>
      <w:r>
        <w:drawing>
          <wp:anchor distT="0" distB="0" distL="114300" distR="114300" simplePos="0" relativeHeight="251675648" behindDoc="1" locked="0" layoutInCell="1" allowOverlap="1">
            <wp:simplePos x="0" y="0"/>
            <wp:positionH relativeFrom="column">
              <wp:posOffset>2360930</wp:posOffset>
            </wp:positionH>
            <wp:positionV relativeFrom="paragraph">
              <wp:posOffset>65405</wp:posOffset>
            </wp:positionV>
            <wp:extent cx="1375410" cy="1687195"/>
            <wp:effectExtent l="0" t="0" r="15240" b="8255"/>
            <wp:wrapTight wrapText="bothSides">
              <wp:wrapPolygon>
                <wp:start x="0" y="0"/>
                <wp:lineTo x="0" y="21462"/>
                <wp:lineTo x="21241" y="21462"/>
                <wp:lineTo x="21241" y="0"/>
                <wp:lineTo x="0" y="0"/>
              </wp:wrapPolygon>
            </wp:wrapTight>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8"/>
                    <a:stretch>
                      <a:fillRect/>
                    </a:stretch>
                  </pic:blipFill>
                  <pic:spPr>
                    <a:xfrm>
                      <a:off x="0" y="0"/>
                      <a:ext cx="1375410" cy="168719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（中介机构积极配合协会工作人员开展行业检查工作）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三、行业的可持续发展离不开平稳有序的市场环境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总体而言，房价虚高，除了极少数一起参与炒房的中介人员以及那些隐藏在灰色地带的投融资公司、资产管理公司从中获取不正当得利外，房地产中介行业中合法合规的机构与从业人员都是为其所累。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事实上，根据深房中协统计，</w:t>
      </w:r>
      <w:r>
        <w:rPr>
          <w:rFonts w:hint="eastAsia" w:ascii="仿宋" w:hAnsi="仿宋" w:eastAsia="仿宋" w:cs="仿宋"/>
          <w:b/>
          <w:bCs/>
          <w:sz w:val="32"/>
          <w:szCs w:val="32"/>
          <w:em w:val="dot"/>
          <w:lang w:val="en-US" w:eastAsia="zh-CN"/>
        </w:rPr>
        <w:t>2019 年全行业每千单投诉宗数仅为 1.78 宗</w:t>
      </w:r>
      <w:r>
        <w:rPr>
          <w:rFonts w:hint="eastAsia" w:ascii="仿宋" w:hAnsi="仿宋" w:eastAsia="仿宋" w:cs="仿宋"/>
          <w:sz w:val="32"/>
          <w:szCs w:val="32"/>
          <w:lang w:val="en-US" w:eastAsia="zh-CN"/>
        </w:rPr>
        <w:t>。近3年来，全行业的投诉比例一直呈现下降态势，特别是 2019 年出现了大幅下降态势。并且，这一行业投诉率是普遍低于其他服务行业的平均水平，从侧面也反映出深圳市房地产中介行业的总体规范与职业道德操守，是要好于我们社会认知的。</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both"/>
        <w:textAlignment w:val="auto"/>
        <w:rPr>
          <w:rFonts w:hint="eastAsia" w:ascii="仿宋" w:hAnsi="仿宋" w:eastAsia="仿宋" w:cs="仿宋"/>
          <w:sz w:val="32"/>
          <w:szCs w:val="32"/>
          <w:lang w:val="en-US" w:eastAsia="zh-CN"/>
        </w:rPr>
      </w:pPr>
      <w:r>
        <w:drawing>
          <wp:anchor distT="0" distB="0" distL="114300" distR="114300" simplePos="0" relativeHeight="251673600" behindDoc="0" locked="0" layoutInCell="1" allowOverlap="1">
            <wp:simplePos x="0" y="0"/>
            <wp:positionH relativeFrom="column">
              <wp:posOffset>1415415</wp:posOffset>
            </wp:positionH>
            <wp:positionV relativeFrom="paragraph">
              <wp:posOffset>50800</wp:posOffset>
            </wp:positionV>
            <wp:extent cx="2685415" cy="1749425"/>
            <wp:effectExtent l="0" t="0" r="635" b="3175"/>
            <wp:wrapTight wrapText="bothSides">
              <wp:wrapPolygon>
                <wp:start x="0" y="0"/>
                <wp:lineTo x="0" y="21404"/>
                <wp:lineTo x="21452" y="21404"/>
                <wp:lineTo x="21452" y="0"/>
                <wp:lineTo x="0" y="0"/>
              </wp:wrapPolygon>
            </wp:wrapTight>
            <wp:docPr id="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pic:cNvPicPr>
                      <a:picLocks noChangeAspect="1"/>
                    </pic:cNvPicPr>
                  </pic:nvPicPr>
                  <pic:blipFill>
                    <a:blip r:embed="rId9"/>
                    <a:stretch>
                      <a:fillRect/>
                    </a:stretch>
                  </pic:blipFill>
                  <pic:spPr>
                    <a:xfrm>
                      <a:off x="0" y="0"/>
                      <a:ext cx="2685415" cy="174942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2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b w:val="0"/>
          <w:i w:val="0"/>
          <w:caps w:val="0"/>
          <w:color w:val="000000"/>
          <w:spacing w:val="0"/>
          <w:sz w:val="31"/>
          <w:szCs w:val="31"/>
          <w:lang w:eastAsia="zh-CN"/>
        </w:rPr>
        <w:t>在此，深房中协呼吁，全行业坚决</w:t>
      </w:r>
      <w:r>
        <w:rPr>
          <w:rFonts w:hint="eastAsia" w:ascii="仿宋" w:hAnsi="仿宋" w:eastAsia="仿宋" w:cs="仿宋"/>
          <w:sz w:val="32"/>
          <w:szCs w:val="32"/>
          <w:lang w:val="en-US" w:eastAsia="zh-CN"/>
        </w:rPr>
        <w:t>抵制不正常的捂盘、虚假宣传以及虚高报价等一系列哄抬房价的炒作行为，对于消费者，也再次郑重提示，面对纷繁错杂的市场信息，要理性对待，客观评估自身的财务与抗风险能力，切勿盲目跟风。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106A9A"/>
    <w:rsid w:val="07F656F2"/>
    <w:rsid w:val="093E2F8E"/>
    <w:rsid w:val="0A35510C"/>
    <w:rsid w:val="0FE95B9C"/>
    <w:rsid w:val="17FA318A"/>
    <w:rsid w:val="21986D55"/>
    <w:rsid w:val="22113A08"/>
    <w:rsid w:val="251A628D"/>
    <w:rsid w:val="265F6EBE"/>
    <w:rsid w:val="2EF23647"/>
    <w:rsid w:val="2F3B533D"/>
    <w:rsid w:val="306626C9"/>
    <w:rsid w:val="34393C52"/>
    <w:rsid w:val="3C391E72"/>
    <w:rsid w:val="3C854C7C"/>
    <w:rsid w:val="44AE67CF"/>
    <w:rsid w:val="464A0177"/>
    <w:rsid w:val="49AB45FB"/>
    <w:rsid w:val="49AB6018"/>
    <w:rsid w:val="4C8A46CC"/>
    <w:rsid w:val="506A6BA5"/>
    <w:rsid w:val="562006BC"/>
    <w:rsid w:val="565603B8"/>
    <w:rsid w:val="5B0C1BF3"/>
    <w:rsid w:val="6A4D6F93"/>
    <w:rsid w:val="6BAF4DE0"/>
    <w:rsid w:val="7DAE5A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Emphasis"/>
    <w:basedOn w:val="7"/>
    <w:qFormat/>
    <w:uiPriority w:val="0"/>
    <w:rPr>
      <w:i/>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1353</Words>
  <Characters>1376</Characters>
  <Lines>0</Lines>
  <Paragraphs>0</Paragraphs>
  <TotalTime>11</TotalTime>
  <ScaleCrop>false</ScaleCrop>
  <LinksUpToDate>false</LinksUpToDate>
  <CharactersWithSpaces>1381</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2020-04-07T02:57:00Z</dcterms:created>
  <dc:creator>huah</dc:creator>
  <cp:lastModifiedBy>深房中协—华洪</cp:lastModifiedBy>
  <dcterms:modified xsi:type="dcterms:W3CDTF">2020-05-26T09:03:31Z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