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黑体" w:hAnsi="黑体" w:eastAsia="黑体"/>
          <w:b/>
          <w:sz w:val="44"/>
          <w:szCs w:val="32"/>
          <w:lang w:val="en-US" w:eastAsia="zh-CN"/>
        </w:rPr>
      </w:pPr>
      <w:r>
        <w:rPr>
          <w:rFonts w:hint="eastAsia" w:ascii="黑体" w:hAnsi="黑体" w:eastAsia="黑体"/>
          <w:b/>
          <w:sz w:val="44"/>
          <w:szCs w:val="32"/>
          <w:lang w:val="en-US" w:eastAsia="zh-CN"/>
        </w:rPr>
        <w:t>租赁遇冷？租赁市场也呈现分化态势？那么请听协会给您分解</w:t>
      </w:r>
    </w:p>
    <w:p>
      <w:pPr>
        <w:spacing w:line="560" w:lineRule="exact"/>
        <w:ind w:firstLine="630" w:firstLineChars="196"/>
        <w:rPr>
          <w:rFonts w:ascii="仿宋" w:hAnsi="仿宋" w:eastAsia="仿宋"/>
          <w:b/>
          <w:sz w:val="32"/>
          <w:szCs w:val="32"/>
        </w:rPr>
      </w:pPr>
    </w:p>
    <w:p>
      <w:pPr>
        <w:spacing w:line="560" w:lineRule="exact"/>
        <w:ind w:firstLine="643" w:firstLineChars="200"/>
        <w:rPr>
          <w:rFonts w:hint="eastAsia" w:ascii="仿宋" w:hAnsi="仿宋" w:eastAsia="仿宋"/>
          <w:b/>
          <w:sz w:val="32"/>
          <w:szCs w:val="32"/>
          <w:lang w:eastAsia="zh-CN"/>
        </w:rPr>
      </w:pPr>
      <w:r>
        <w:rPr>
          <w:rFonts w:hint="eastAsia" w:ascii="仿宋" w:hAnsi="仿宋" w:eastAsia="仿宋"/>
          <w:b/>
          <w:sz w:val="32"/>
          <w:szCs w:val="32"/>
        </w:rPr>
        <w:t>一、深圳住房租赁市场</w:t>
      </w:r>
      <w:r>
        <w:rPr>
          <w:rFonts w:hint="eastAsia" w:ascii="仿宋" w:hAnsi="仿宋" w:eastAsia="仿宋"/>
          <w:b/>
          <w:sz w:val="32"/>
          <w:szCs w:val="32"/>
          <w:lang w:eastAsia="zh-CN"/>
        </w:rPr>
        <w:t>的整体供需矛盾仍然突出</w:t>
      </w:r>
    </w:p>
    <w:p>
      <w:pPr>
        <w:snapToGrid w:val="0"/>
        <w:spacing w:line="560" w:lineRule="exact"/>
        <w:ind w:firstLine="630" w:firstLineChars="300"/>
        <w:rPr>
          <w:rFonts w:hint="eastAsia" w:ascii="仿宋" w:hAnsi="仿宋" w:eastAsia="仿宋"/>
          <w:sz w:val="32"/>
          <w:szCs w:val="32"/>
        </w:rPr>
      </w:pPr>
      <w:r>
        <w:drawing>
          <wp:anchor distT="0" distB="0" distL="114300" distR="114300" simplePos="0" relativeHeight="251658240" behindDoc="1" locked="0" layoutInCell="1" allowOverlap="1">
            <wp:simplePos x="0" y="0"/>
            <wp:positionH relativeFrom="column">
              <wp:posOffset>1254125</wp:posOffset>
            </wp:positionH>
            <wp:positionV relativeFrom="paragraph">
              <wp:posOffset>4261485</wp:posOffset>
            </wp:positionV>
            <wp:extent cx="3116580" cy="2171700"/>
            <wp:effectExtent l="0" t="0" r="45720" b="57150"/>
            <wp:wrapTight wrapText="bothSides">
              <wp:wrapPolygon>
                <wp:start x="0" y="0"/>
                <wp:lineTo x="0" y="21411"/>
                <wp:lineTo x="21521" y="21411"/>
                <wp:lineTo x="21521"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116580" cy="2171700"/>
                    </a:xfrm>
                    <a:prstGeom prst="rect">
                      <a:avLst/>
                    </a:prstGeom>
                    <a:noFill/>
                    <a:ln>
                      <a:noFill/>
                    </a:ln>
                  </pic:spPr>
                </pic:pic>
              </a:graphicData>
            </a:graphic>
          </wp:anchor>
        </w:drawing>
      </w:r>
      <w:r>
        <w:rPr>
          <w:rFonts w:hint="eastAsia" w:ascii="仿宋" w:hAnsi="仿宋" w:eastAsia="仿宋"/>
          <w:sz w:val="32"/>
          <w:szCs w:val="32"/>
        </w:rPr>
        <w:t>随着经济的快速发展和外来人口的迅猛增长，</w:t>
      </w:r>
      <w:r>
        <w:rPr>
          <w:rFonts w:hint="eastAsia" w:ascii="仿宋" w:hAnsi="仿宋" w:eastAsia="仿宋" w:cs="仿宋"/>
          <w:sz w:val="32"/>
          <w:szCs w:val="32"/>
        </w:rPr>
        <w:t>深圳作为全国最早一批进入存量房时代的城市，在租赁市场发展领域，无论是政府保障还是市场参与等方面都起步较早，并且</w:t>
      </w:r>
      <w:r>
        <w:rPr>
          <w:rFonts w:hint="eastAsia" w:ascii="仿宋" w:hAnsi="仿宋" w:eastAsia="仿宋"/>
          <w:sz w:val="32"/>
          <w:szCs w:val="32"/>
        </w:rPr>
        <w:t>已形成了全国最大（地市量级）的房屋</w:t>
      </w:r>
      <w:bookmarkStart w:id="0" w:name="_GoBack"/>
      <w:bookmarkEnd w:id="0"/>
      <w:r>
        <w:rPr>
          <w:rFonts w:hint="eastAsia" w:ascii="仿宋" w:hAnsi="仿宋" w:eastAsia="仿宋"/>
          <w:sz w:val="32"/>
          <w:szCs w:val="32"/>
        </w:rPr>
        <w:t>租赁市场之一。</w:t>
      </w:r>
      <w:r>
        <w:rPr>
          <w:rFonts w:hint="eastAsia" w:ascii="仿宋" w:hAnsi="仿宋" w:eastAsia="仿宋" w:cs="仿宋"/>
          <w:sz w:val="32"/>
          <w:szCs w:val="32"/>
        </w:rPr>
        <w:t>根据深圳市房地产中介协会（以下简称“深房中协”）的数据估算，深圳目前（以201</w:t>
      </w:r>
      <w:r>
        <w:rPr>
          <w:rFonts w:hint="eastAsia" w:ascii="仿宋" w:hAnsi="仿宋" w:eastAsia="仿宋" w:cs="仿宋"/>
          <w:sz w:val="32"/>
          <w:szCs w:val="32"/>
          <w:lang w:val="en-US" w:eastAsia="zh-CN"/>
        </w:rPr>
        <w:t>9</w:t>
      </w:r>
      <w:r>
        <w:rPr>
          <w:rFonts w:hint="eastAsia" w:ascii="仿宋" w:hAnsi="仿宋" w:eastAsia="仿宋" w:cs="仿宋"/>
          <w:sz w:val="32"/>
          <w:szCs w:val="32"/>
        </w:rPr>
        <w:t>年深圳市统计局公布的人口</w:t>
      </w:r>
      <w:r>
        <w:rPr>
          <w:rFonts w:hint="eastAsia" w:ascii="仿宋" w:hAnsi="仿宋" w:eastAsia="仿宋" w:cs="仿宋"/>
          <w:sz w:val="32"/>
          <w:szCs w:val="32"/>
          <w:lang w:val="en-US" w:eastAsia="zh-CN"/>
        </w:rPr>
        <w:t>1343万</w:t>
      </w:r>
      <w:r>
        <w:rPr>
          <w:rFonts w:hint="eastAsia" w:ascii="仿宋" w:hAnsi="仿宋" w:eastAsia="仿宋" w:cs="仿宋"/>
          <w:sz w:val="32"/>
          <w:szCs w:val="32"/>
        </w:rPr>
        <w:t>数据为基</w:t>
      </w:r>
      <w:r>
        <w:rPr>
          <w:rFonts w:hint="eastAsia" w:ascii="仿宋" w:hAnsi="仿宋" w:eastAsia="仿宋" w:cs="仿宋"/>
          <w:sz w:val="32"/>
          <w:szCs w:val="32"/>
          <w:lang w:eastAsia="zh-CN"/>
        </w:rPr>
        <w:t>，按常驻人口</w:t>
      </w:r>
      <w:r>
        <w:rPr>
          <w:rFonts w:hint="eastAsia" w:ascii="仿宋" w:hAnsi="仿宋" w:eastAsia="仿宋" w:cs="仿宋"/>
          <w:sz w:val="32"/>
          <w:szCs w:val="32"/>
          <w:lang w:val="en-US" w:eastAsia="zh-CN"/>
        </w:rPr>
        <w:t>34%住房自有率</w:t>
      </w:r>
      <w:r>
        <w:rPr>
          <w:rFonts w:hint="eastAsia" w:ascii="仿宋" w:hAnsi="仿宋" w:eastAsia="仿宋" w:cs="仿宋"/>
          <w:sz w:val="32"/>
          <w:szCs w:val="32"/>
        </w:rPr>
        <w:t>测算）的常住人口中有近</w:t>
      </w:r>
      <w:r>
        <w:rPr>
          <w:rFonts w:hint="eastAsia" w:ascii="仿宋" w:hAnsi="仿宋" w:eastAsia="仿宋" w:cs="仿宋"/>
          <w:sz w:val="32"/>
          <w:szCs w:val="32"/>
          <w:lang w:val="en-US" w:eastAsia="zh-CN"/>
        </w:rPr>
        <w:t>859</w:t>
      </w:r>
      <w:r>
        <w:rPr>
          <w:rFonts w:hint="eastAsia" w:ascii="仿宋" w:hAnsi="仿宋" w:eastAsia="仿宋" w:cs="仿宋"/>
          <w:sz w:val="32"/>
          <w:szCs w:val="32"/>
        </w:rPr>
        <w:t>万左右的人口为租赁</w:t>
      </w:r>
      <w:r>
        <w:rPr>
          <w:rFonts w:hint="eastAsia" w:ascii="仿宋" w:hAnsi="仿宋" w:eastAsia="仿宋" w:cs="仿宋"/>
          <w:sz w:val="32"/>
          <w:szCs w:val="32"/>
          <w:lang w:eastAsia="zh-CN"/>
        </w:rPr>
        <w:t>潜在</w:t>
      </w:r>
      <w:r>
        <w:rPr>
          <w:rFonts w:hint="eastAsia" w:ascii="仿宋" w:hAnsi="仿宋" w:eastAsia="仿宋" w:cs="仿宋"/>
          <w:sz w:val="32"/>
          <w:szCs w:val="32"/>
        </w:rPr>
        <w:t>需求群体，如算上未统计在内的流动人口，则租赁需求群体更为庞大。可以说，深圳庞大的人口基数以及相对低下的住房自有率为深圳发展租赁市场提供了庞大的市场容量。</w:t>
      </w:r>
      <w:r>
        <w:rPr>
          <w:rFonts w:hint="eastAsia" w:ascii="仿宋" w:hAnsi="仿宋" w:eastAsia="仿宋"/>
          <w:sz w:val="32"/>
          <w:szCs w:val="32"/>
        </w:rPr>
        <w:t>据相关统计，深圳租赁</w:t>
      </w:r>
      <w:r>
        <w:rPr>
          <w:rFonts w:hint="eastAsia" w:ascii="仿宋" w:hAnsi="仿宋" w:eastAsia="仿宋"/>
          <w:sz w:val="32"/>
          <w:szCs w:val="32"/>
          <w:lang w:eastAsia="zh-CN"/>
        </w:rPr>
        <w:t>市场规模接近千亿元规模</w:t>
      </w:r>
      <w:r>
        <w:rPr>
          <w:rFonts w:hint="eastAsia" w:ascii="仿宋" w:hAnsi="仿宋" w:eastAsia="仿宋"/>
          <w:sz w:val="32"/>
          <w:szCs w:val="32"/>
        </w:rPr>
        <w:t>，如将流动人口考虑在内，深圳实际总租房居住人数超过千万级别。</w:t>
      </w: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rPr>
          <w:rFonts w:hint="eastAsia" w:ascii="仿宋" w:hAnsi="仿宋" w:eastAsia="仿宋"/>
          <w:sz w:val="32"/>
          <w:szCs w:val="32"/>
        </w:rPr>
      </w:pPr>
    </w:p>
    <w:p>
      <w:pPr>
        <w:snapToGrid w:val="0"/>
        <w:spacing w:line="560" w:lineRule="exact"/>
        <w:ind w:firstLine="640" w:firstLineChars="200"/>
        <w:jc w:val="center"/>
        <w:rPr>
          <w:rFonts w:hint="eastAsia" w:ascii="仿宋" w:hAnsi="仿宋" w:eastAsia="仿宋"/>
          <w:sz w:val="32"/>
          <w:szCs w:val="32"/>
          <w:lang w:eastAsia="zh-CN"/>
        </w:rPr>
      </w:pPr>
      <w:r>
        <w:rPr>
          <w:rFonts w:hint="eastAsia" w:ascii="仿宋" w:hAnsi="仿宋" w:eastAsia="仿宋"/>
          <w:sz w:val="32"/>
          <w:szCs w:val="32"/>
          <w:lang w:eastAsia="zh-CN"/>
        </w:rPr>
        <w:t>（数据来源：公开网络）</w:t>
      </w:r>
    </w:p>
    <w:p>
      <w:pPr>
        <w:spacing w:line="560" w:lineRule="exact"/>
        <w:ind w:firstLine="640" w:firstLineChars="200"/>
        <w:rPr>
          <w:rFonts w:ascii="仿宋" w:hAnsi="仿宋" w:eastAsia="仿宋"/>
          <w:sz w:val="32"/>
          <w:szCs w:val="32"/>
        </w:rPr>
      </w:pPr>
      <w:r>
        <w:rPr>
          <w:rFonts w:hint="eastAsia" w:ascii="仿宋" w:hAnsi="仿宋" w:eastAsia="仿宋" w:cs="仿宋"/>
          <w:sz w:val="32"/>
          <w:szCs w:val="32"/>
          <w:lang w:eastAsia="zh-CN"/>
        </w:rPr>
        <w:t>根据</w:t>
      </w:r>
      <w:r>
        <w:rPr>
          <w:rFonts w:hint="eastAsia" w:ascii="仿宋" w:hAnsi="仿宋" w:eastAsia="仿宋" w:cs="仿宋"/>
          <w:sz w:val="32"/>
          <w:szCs w:val="32"/>
        </w:rPr>
        <w:t>相关数据显示，全市1041万套的住房总量中，商品房约179万套</w:t>
      </w:r>
      <w:r>
        <w:rPr>
          <w:rFonts w:hint="eastAsia" w:ascii="仿宋" w:hAnsi="仿宋" w:eastAsia="仿宋" w:cs="仿宋"/>
          <w:sz w:val="32"/>
          <w:szCs w:val="32"/>
          <w:lang w:eastAsia="zh-CN"/>
        </w:rPr>
        <w:t>，占比</w:t>
      </w:r>
      <w:r>
        <w:rPr>
          <w:rFonts w:hint="eastAsia" w:ascii="仿宋" w:hAnsi="仿宋" w:eastAsia="仿宋" w:cs="仿宋"/>
          <w:sz w:val="32"/>
          <w:szCs w:val="32"/>
          <w:lang w:val="en-US" w:eastAsia="zh-CN"/>
        </w:rPr>
        <w:t>17%左右，但</w:t>
      </w:r>
      <w:r>
        <w:rPr>
          <w:rFonts w:hint="eastAsia" w:ascii="仿宋" w:hAnsi="仿宋" w:eastAsia="仿宋"/>
          <w:sz w:val="32"/>
          <w:szCs w:val="32"/>
        </w:rPr>
        <w:t>近几年深圳人口持续净流入，每年常住人口增量都逼近或超过50余万人左右。由此带来的</w:t>
      </w:r>
      <w:r>
        <w:rPr>
          <w:rFonts w:hint="eastAsia" w:ascii="仿宋" w:hAnsi="仿宋" w:eastAsia="仿宋"/>
          <w:sz w:val="32"/>
          <w:szCs w:val="32"/>
          <w:lang w:eastAsia="zh-CN"/>
        </w:rPr>
        <w:t>每年</w:t>
      </w:r>
      <w:r>
        <w:rPr>
          <w:rFonts w:hint="eastAsia" w:ascii="仿宋" w:hAnsi="仿宋" w:eastAsia="仿宋"/>
          <w:sz w:val="32"/>
          <w:szCs w:val="32"/>
        </w:rPr>
        <w:t>新增租赁住房需求至少在20万至25万套，但</w:t>
      </w:r>
      <w:r>
        <w:rPr>
          <w:rFonts w:hint="eastAsia" w:ascii="仿宋" w:hAnsi="仿宋" w:eastAsia="仿宋"/>
          <w:sz w:val="32"/>
          <w:szCs w:val="32"/>
          <w:lang w:eastAsia="zh-CN"/>
        </w:rPr>
        <w:t>每年</w:t>
      </w:r>
      <w:r>
        <w:rPr>
          <w:rFonts w:hint="eastAsia" w:ascii="仿宋" w:hAnsi="仿宋" w:eastAsia="仿宋"/>
          <w:sz w:val="32"/>
          <w:szCs w:val="32"/>
        </w:rPr>
        <w:t>新增租赁住房仅能满足三分之一，其他三分之二则要通过存量市场解决，供求矛盾</w:t>
      </w:r>
      <w:r>
        <w:rPr>
          <w:rFonts w:hint="eastAsia" w:ascii="仿宋" w:hAnsi="仿宋" w:eastAsia="仿宋"/>
          <w:sz w:val="32"/>
          <w:szCs w:val="32"/>
          <w:lang w:eastAsia="zh-CN"/>
        </w:rPr>
        <w:t>仍然较为</w:t>
      </w:r>
      <w:r>
        <w:rPr>
          <w:rFonts w:hint="eastAsia" w:ascii="仿宋" w:hAnsi="仿宋" w:eastAsia="仿宋"/>
          <w:sz w:val="32"/>
          <w:szCs w:val="32"/>
        </w:rPr>
        <w:t>严峻。</w:t>
      </w:r>
    </w:p>
    <w:p>
      <w:pPr>
        <w:snapToGrid w:val="0"/>
        <w:spacing w:line="56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二、租赁市场分化成常态</w:t>
      </w:r>
    </w:p>
    <w:p>
      <w:pPr>
        <w:numPr>
          <w:ilvl w:val="0"/>
          <w:numId w:val="0"/>
        </w:numPr>
        <w:snapToGrid w:val="0"/>
        <w:spacing w:line="560" w:lineRule="exact"/>
        <w:ind w:firstLine="643" w:firstLineChars="200"/>
        <w:rPr>
          <w:rFonts w:hint="default" w:ascii="仿宋" w:hAnsi="仿宋" w:eastAsia="仿宋"/>
          <w:b/>
          <w:bCs/>
          <w:sz w:val="32"/>
          <w:szCs w:val="32"/>
          <w:lang w:val="en-US" w:eastAsia="zh-CN"/>
        </w:rPr>
      </w:pPr>
      <w:r>
        <w:rPr>
          <w:rFonts w:hint="eastAsia" w:ascii="仿宋" w:hAnsi="仿宋" w:eastAsia="仿宋"/>
          <w:b/>
          <w:sz w:val="32"/>
          <w:szCs w:val="32"/>
          <w:lang w:eastAsia="zh-CN"/>
        </w:rPr>
        <w:t>（一）</w:t>
      </w:r>
      <w:r>
        <w:rPr>
          <w:rFonts w:hint="eastAsia" w:ascii="仿宋" w:hAnsi="仿宋" w:eastAsia="仿宋"/>
          <w:b/>
          <w:bCs/>
          <w:sz w:val="32"/>
          <w:szCs w:val="32"/>
          <w:lang w:val="en-US" w:eastAsia="zh-CN"/>
        </w:rPr>
        <w:t>商业办公项目空置压力增大</w:t>
      </w:r>
    </w:p>
    <w:p>
      <w:pPr>
        <w:numPr>
          <w:ilvl w:val="0"/>
          <w:numId w:val="0"/>
        </w:numPr>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根据相关机构统计显示，2016年～2019年间，深圳写字楼空置率从13.3%升至20％，与空置率高企相应的是，深圳写字楼新增供应量也从130万平方米升至200万平方米，</w:t>
      </w:r>
      <w:r>
        <w:rPr>
          <w:rFonts w:hint="eastAsia" w:ascii="仿宋" w:hAnsi="仿宋" w:eastAsia="仿宋"/>
          <w:b/>
          <w:bCs/>
          <w:sz w:val="32"/>
          <w:szCs w:val="32"/>
          <w:u w:val="single"/>
          <w:lang w:eastAsia="zh-CN"/>
        </w:rPr>
        <w:t>供过于求现象持续存在</w:t>
      </w:r>
      <w:r>
        <w:rPr>
          <w:rFonts w:hint="eastAsia" w:ascii="仿宋" w:hAnsi="仿宋" w:eastAsia="仿宋"/>
          <w:sz w:val="32"/>
          <w:szCs w:val="32"/>
          <w:lang w:eastAsia="zh-CN"/>
        </w:rPr>
        <w:t>，而疫情的突如其来，更是令商业办公项目的租赁情况雪上加霜，根据相关机构统计，预计今年全市商业写字楼的平均空置率最高可以去到</w:t>
      </w:r>
      <w:r>
        <w:rPr>
          <w:rFonts w:hint="eastAsia" w:ascii="仿宋" w:hAnsi="仿宋" w:eastAsia="仿宋"/>
          <w:sz w:val="32"/>
          <w:szCs w:val="32"/>
          <w:lang w:val="en-US" w:eastAsia="zh-CN"/>
        </w:rPr>
        <w:t>30%。（</w:t>
      </w:r>
      <w:r>
        <w:rPr>
          <w:rFonts w:hint="eastAsia" w:ascii="仿宋" w:hAnsi="仿宋" w:eastAsia="仿宋"/>
          <w:sz w:val="32"/>
          <w:szCs w:val="32"/>
          <w:lang w:eastAsia="zh-CN"/>
        </w:rPr>
        <w:t>全市写字楼市场总存量环比扩容1.2%，至738万平方米，深圳2020年迎来未来五年内的甲级写字楼供应高峰，全年预计累计共有134万平方米的新增写字楼面积交付，且未来五年新增供应总计达507万平方米。</w:t>
      </w:r>
      <w:r>
        <w:rPr>
          <w:rFonts w:hint="eastAsia" w:ascii="仿宋" w:hAnsi="仿宋" w:eastAsia="仿宋"/>
          <w:sz w:val="32"/>
          <w:szCs w:val="32"/>
          <w:lang w:val="en-US" w:eastAsia="zh-CN"/>
        </w:rPr>
        <w:t>）而在租金方面，</w:t>
      </w:r>
      <w:r>
        <w:rPr>
          <w:rFonts w:hint="eastAsia" w:ascii="仿宋" w:hAnsi="仿宋" w:eastAsia="仿宋"/>
          <w:sz w:val="32"/>
          <w:szCs w:val="32"/>
          <w:lang w:eastAsia="zh-CN"/>
        </w:rPr>
        <w:t>截至一季末，深圳全市平均租金下降至人民币每平方米每月201.7元，租金指数环比下跌1.6%。而根据部分媒体报道所知，甚至部分商业写字楼项目的租金即便“腰斩”也难以出租。</w:t>
      </w:r>
    </w:p>
    <w:p>
      <w:pPr>
        <w:snapToGrid w:val="0"/>
        <w:spacing w:line="560" w:lineRule="exact"/>
        <w:ind w:firstLine="643" w:firstLineChars="200"/>
        <w:rPr>
          <w:rFonts w:hint="default" w:ascii="仿宋" w:hAnsi="仿宋" w:eastAsia="仿宋"/>
          <w:b/>
          <w:sz w:val="32"/>
          <w:szCs w:val="32"/>
          <w:lang w:val="en-US" w:eastAsia="zh-CN"/>
        </w:rPr>
      </w:pPr>
      <w:r>
        <w:rPr>
          <w:rFonts w:hint="eastAsia" w:ascii="仿宋" w:hAnsi="仿宋" w:eastAsia="仿宋"/>
          <w:b/>
          <w:sz w:val="32"/>
          <w:szCs w:val="32"/>
          <w:lang w:val="en-US" w:eastAsia="zh-CN"/>
        </w:rPr>
        <w:t>（二）住宅方面，片区冷热不均</w:t>
      </w:r>
    </w:p>
    <w:p>
      <w:pPr>
        <w:snapToGrid w:val="0"/>
        <w:spacing w:line="560" w:lineRule="exact"/>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1.短期内全市</w:t>
      </w:r>
      <w:r>
        <w:rPr>
          <w:rFonts w:hint="eastAsia" w:ascii="仿宋" w:hAnsi="仿宋" w:eastAsia="仿宋" w:cs="仿宋"/>
          <w:b/>
          <w:bCs/>
          <w:sz w:val="32"/>
          <w:szCs w:val="32"/>
          <w:lang w:eastAsia="zh-CN"/>
        </w:rPr>
        <w:t>商品租赁住房放盘量大增</w:t>
      </w:r>
    </w:p>
    <w:p>
      <w:pPr>
        <w:snapToGrid w:val="0"/>
        <w:spacing w:line="560" w:lineRule="exact"/>
        <w:ind w:firstLine="640" w:firstLineChars="200"/>
        <w:rPr>
          <w:rFonts w:hint="eastAsia" w:ascii="仿宋" w:hAnsi="仿宋" w:eastAsia="仿宋"/>
          <w:b/>
          <w:sz w:val="32"/>
          <w:szCs w:val="32"/>
        </w:rPr>
      </w:pPr>
      <w:r>
        <w:rPr>
          <w:rFonts w:hint="eastAsia" w:ascii="仿宋" w:hAnsi="仿宋" w:eastAsia="仿宋" w:cs="仿宋"/>
          <w:sz w:val="32"/>
          <w:szCs w:val="32"/>
        </w:rPr>
        <w:t>根据深房中协另一项统计，</w:t>
      </w:r>
      <w:r>
        <w:rPr>
          <w:rFonts w:hint="eastAsia" w:ascii="仿宋" w:hAnsi="仿宋" w:eastAsia="仿宋" w:cs="仿宋"/>
          <w:sz w:val="32"/>
          <w:szCs w:val="32"/>
          <w:lang w:eastAsia="zh-CN"/>
        </w:rPr>
        <w:t>截止</w:t>
      </w:r>
      <w:r>
        <w:rPr>
          <w:rFonts w:hint="eastAsia" w:ascii="仿宋" w:hAnsi="仿宋" w:eastAsia="仿宋" w:cs="仿宋"/>
          <w:sz w:val="32"/>
          <w:szCs w:val="32"/>
          <w:lang w:val="en-US" w:eastAsia="zh-CN"/>
        </w:rPr>
        <w:t>2020年5月10日，</w:t>
      </w:r>
      <w:r>
        <w:rPr>
          <w:rFonts w:hint="eastAsia" w:ascii="仿宋" w:hAnsi="仿宋" w:eastAsia="仿宋" w:cs="仿宋"/>
          <w:sz w:val="32"/>
          <w:szCs w:val="32"/>
        </w:rPr>
        <w:t>全市范围内通过主要几大房地产中介机构（乐有家、贝壳、中原、Q房、美联</w:t>
      </w:r>
      <w:r>
        <w:rPr>
          <w:rFonts w:hint="eastAsia" w:ascii="仿宋" w:hAnsi="仿宋" w:eastAsia="仿宋" w:cs="仿宋"/>
          <w:sz w:val="32"/>
          <w:szCs w:val="32"/>
          <w:lang w:eastAsia="zh-CN"/>
        </w:rPr>
        <w:t>物业</w:t>
      </w:r>
      <w:r>
        <w:rPr>
          <w:rFonts w:hint="eastAsia" w:ascii="仿宋" w:hAnsi="仿宋" w:eastAsia="仿宋" w:cs="仿宋"/>
          <w:sz w:val="32"/>
          <w:szCs w:val="32"/>
        </w:rPr>
        <w:t>）公开挂牌供应的商品房租赁房源总计超过</w:t>
      </w:r>
      <w:r>
        <w:rPr>
          <w:rFonts w:hint="eastAsia" w:ascii="仿宋" w:hAnsi="仿宋" w:eastAsia="仿宋" w:cs="仿宋"/>
          <w:sz w:val="32"/>
          <w:szCs w:val="32"/>
          <w:u w:val="single"/>
          <w:lang w:val="en-US" w:eastAsia="zh-CN"/>
        </w:rPr>
        <w:t>15</w:t>
      </w:r>
      <w:r>
        <w:rPr>
          <w:rFonts w:hint="eastAsia" w:ascii="仿宋" w:hAnsi="仿宋" w:eastAsia="仿宋" w:cs="仿宋"/>
          <w:sz w:val="32"/>
          <w:szCs w:val="32"/>
          <w:u w:val="single"/>
        </w:rPr>
        <w:t>万多套</w:t>
      </w:r>
      <w:r>
        <w:rPr>
          <w:rFonts w:hint="eastAsia" w:ascii="仿宋" w:hAnsi="仿宋" w:eastAsia="仿宋" w:cs="仿宋"/>
          <w:sz w:val="32"/>
          <w:szCs w:val="32"/>
          <w:u w:val="single"/>
          <w:lang w:eastAsia="zh-CN"/>
        </w:rPr>
        <w:t>（含重复累计）</w:t>
      </w:r>
      <w:r>
        <w:rPr>
          <w:rFonts w:hint="eastAsia" w:ascii="仿宋" w:hAnsi="仿宋" w:eastAsia="仿宋" w:cs="仿宋"/>
          <w:sz w:val="32"/>
          <w:szCs w:val="32"/>
          <w:lang w:val="en-US" w:eastAsia="zh-CN"/>
        </w:rPr>
        <w:t>,与2019年10月份我会所抓取的几大行</w:t>
      </w:r>
      <w:r>
        <w:rPr>
          <w:rFonts w:hint="eastAsia" w:ascii="仿宋" w:hAnsi="仿宋" w:eastAsia="仿宋" w:cs="仿宋"/>
          <w:sz w:val="32"/>
          <w:szCs w:val="32"/>
        </w:rPr>
        <w:t>商品房租赁房源</w:t>
      </w:r>
      <w:r>
        <w:rPr>
          <w:rFonts w:hint="eastAsia" w:ascii="仿宋" w:hAnsi="仿宋" w:eastAsia="仿宋" w:cs="仿宋"/>
          <w:sz w:val="32"/>
          <w:szCs w:val="32"/>
          <w:u w:val="single"/>
          <w:lang w:val="en-US" w:eastAsia="zh-CN"/>
        </w:rPr>
        <w:t>9.5万套</w:t>
      </w:r>
      <w:r>
        <w:rPr>
          <w:rFonts w:hint="eastAsia" w:ascii="仿宋" w:hAnsi="仿宋" w:eastAsia="仿宋" w:cs="仿宋"/>
          <w:sz w:val="32"/>
          <w:szCs w:val="32"/>
          <w:u w:val="single"/>
          <w:lang w:eastAsia="zh-CN"/>
        </w:rPr>
        <w:t>（含重复累计）</w:t>
      </w:r>
      <w:r>
        <w:rPr>
          <w:rFonts w:hint="eastAsia" w:ascii="仿宋" w:hAnsi="仿宋" w:eastAsia="仿宋" w:cs="仿宋"/>
          <w:sz w:val="32"/>
          <w:szCs w:val="32"/>
          <w:lang w:val="en-US" w:eastAsia="zh-CN"/>
        </w:rPr>
        <w:t>的数据相比，</w:t>
      </w:r>
      <w:r>
        <w:rPr>
          <w:rFonts w:hint="eastAsia" w:ascii="仿宋" w:hAnsi="仿宋" w:eastAsia="仿宋" w:cs="仿宋"/>
          <w:sz w:val="32"/>
          <w:szCs w:val="32"/>
          <w:u w:val="single"/>
          <w:lang w:val="en-US" w:eastAsia="zh-CN"/>
        </w:rPr>
        <w:t>高出57.8%！</w:t>
      </w:r>
      <w:r>
        <w:rPr>
          <w:rFonts w:hint="eastAsia" w:ascii="仿宋" w:hAnsi="仿宋" w:eastAsia="仿宋" w:cs="仿宋"/>
          <w:sz w:val="32"/>
          <w:szCs w:val="32"/>
        </w:rPr>
        <w:t>如将一些未通过中介机构挂牌的租赁房源，与占据深圳建筑面积近半壁江山的“城中村”租赁房源，以及各类“工改租”和集体宿舍的租赁房源都统计在内的话，</w:t>
      </w:r>
      <w:r>
        <w:rPr>
          <w:rFonts w:hint="eastAsia" w:ascii="仿宋" w:hAnsi="仿宋" w:eastAsia="仿宋" w:cs="仿宋"/>
          <w:sz w:val="32"/>
          <w:szCs w:val="32"/>
          <w:lang w:eastAsia="zh-CN"/>
        </w:rPr>
        <w:t>近期</w:t>
      </w:r>
      <w:r>
        <w:rPr>
          <w:rFonts w:hint="eastAsia" w:ascii="仿宋" w:hAnsi="仿宋" w:eastAsia="仿宋" w:cs="仿宋"/>
          <w:sz w:val="32"/>
          <w:szCs w:val="32"/>
        </w:rPr>
        <w:t>全市</w:t>
      </w:r>
      <w:r>
        <w:rPr>
          <w:rFonts w:hint="eastAsia" w:ascii="仿宋" w:hAnsi="仿宋" w:eastAsia="仿宋" w:cs="仿宋"/>
          <w:sz w:val="32"/>
          <w:szCs w:val="32"/>
          <w:lang w:eastAsia="zh-CN"/>
        </w:rPr>
        <w:t>可供</w:t>
      </w:r>
      <w:r>
        <w:rPr>
          <w:rFonts w:hint="eastAsia" w:ascii="仿宋" w:hAnsi="仿宋" w:eastAsia="仿宋" w:cs="仿宋"/>
          <w:sz w:val="32"/>
          <w:szCs w:val="32"/>
        </w:rPr>
        <w:t>租赁</w:t>
      </w:r>
      <w:r>
        <w:rPr>
          <w:rFonts w:hint="eastAsia" w:ascii="仿宋" w:hAnsi="仿宋" w:eastAsia="仿宋" w:cs="仿宋"/>
          <w:sz w:val="32"/>
          <w:szCs w:val="32"/>
          <w:lang w:eastAsia="zh-CN"/>
        </w:rPr>
        <w:t>的</w:t>
      </w:r>
      <w:r>
        <w:rPr>
          <w:rFonts w:hint="eastAsia" w:ascii="仿宋" w:hAnsi="仿宋" w:eastAsia="仿宋" w:cs="仿宋"/>
          <w:sz w:val="32"/>
          <w:szCs w:val="32"/>
        </w:rPr>
        <w:t>房源的供应量则远大于统计数据</w:t>
      </w:r>
      <w:r>
        <w:rPr>
          <w:rFonts w:hint="eastAsia" w:ascii="仿宋" w:hAnsi="仿宋" w:eastAsia="仿宋" w:cs="仿宋"/>
          <w:sz w:val="32"/>
          <w:szCs w:val="32"/>
          <w:lang w:eastAsia="zh-CN"/>
        </w:rPr>
        <w:t>！</w:t>
      </w:r>
    </w:p>
    <w:p>
      <w:pPr>
        <w:numPr>
          <w:ilvl w:val="0"/>
          <w:numId w:val="0"/>
        </w:numPr>
        <w:snapToGrid w:val="0"/>
        <w:spacing w:line="560" w:lineRule="exact"/>
        <w:ind w:firstLine="643" w:firstLineChars="200"/>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2.整体租金小幅下降，但已存在稳中有升趋势</w:t>
      </w:r>
    </w:p>
    <w:p>
      <w:pPr>
        <w:numPr>
          <w:ilvl w:val="0"/>
          <w:numId w:val="0"/>
        </w:numPr>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根据我会会员单位中原地产提供的数据监测显示，4月份深圳租金回报率持续下滑，4月全市住宅租金为71.0元/平·月，环比上升0.10%，租金回报率继续下滑至1.41%。</w:t>
      </w:r>
    </w:p>
    <w:p>
      <w:pPr>
        <w:numPr>
          <w:ilvl w:val="0"/>
          <w:numId w:val="0"/>
        </w:numPr>
        <w:snapToGrid w:val="0"/>
        <w:spacing w:line="560" w:lineRule="exact"/>
        <w:ind w:firstLine="643" w:firstLineChars="200"/>
        <w:rPr>
          <w:rFonts w:hint="default" w:ascii="仿宋" w:hAnsi="仿宋" w:eastAsia="仿宋"/>
          <w:b/>
          <w:sz w:val="32"/>
          <w:szCs w:val="32"/>
          <w:lang w:val="en-US"/>
        </w:rPr>
      </w:pPr>
      <w:r>
        <w:rPr>
          <w:rFonts w:hint="eastAsia" w:ascii="仿宋" w:hAnsi="仿宋" w:eastAsia="仿宋"/>
          <w:b/>
          <w:sz w:val="32"/>
          <w:szCs w:val="32"/>
          <w:lang w:val="en-US" w:eastAsia="zh-CN"/>
        </w:rPr>
        <w:t>3.租赁区域分化</w:t>
      </w:r>
    </w:p>
    <w:p>
      <w:pPr>
        <w:numPr>
          <w:ilvl w:val="0"/>
          <w:numId w:val="0"/>
        </w:numPr>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从各区租金变化幅度来看，南山、罗湖和龙华租金出现下滑，其他区域出现上升，租金上涨的地区涨幅都在0.7%以内。</w:t>
      </w:r>
    </w:p>
    <w:p>
      <w:pPr>
        <w:numPr>
          <w:ilvl w:val="0"/>
          <w:numId w:val="0"/>
        </w:numPr>
        <w:snapToGrid w:val="0"/>
        <w:spacing w:line="560" w:lineRule="exact"/>
        <w:rPr>
          <w:rFonts w:hint="eastAsia" w:ascii="仿宋" w:hAnsi="仿宋" w:eastAsia="仿宋"/>
          <w:sz w:val="32"/>
          <w:szCs w:val="32"/>
          <w:lang w:eastAsia="zh-CN"/>
        </w:rPr>
      </w:pPr>
      <w:r>
        <w:rPr>
          <w:rFonts w:hint="eastAsia" w:ascii="仿宋" w:hAnsi="仿宋" w:eastAsia="仿宋"/>
          <w:sz w:val="32"/>
          <w:szCs w:val="32"/>
          <w:lang w:eastAsia="zh-CN"/>
        </w:rPr>
        <w:t>目前，福田租金水平为全市最高，为111.6元/平；龙岗租金水平居末位，为49.8元/平。</w:t>
      </w:r>
    </w:p>
    <w:p>
      <w:pPr>
        <w:snapToGrid w:val="0"/>
        <w:spacing w:line="560" w:lineRule="exact"/>
        <w:ind w:firstLine="643" w:firstLineChars="200"/>
        <w:rPr>
          <w:rFonts w:hint="eastAsia" w:ascii="仿宋" w:hAnsi="仿宋" w:eastAsia="仿宋" w:cs="Times New Roman"/>
          <w:b/>
          <w:kern w:val="0"/>
          <w:sz w:val="32"/>
          <w:szCs w:val="32"/>
          <w:lang w:val="en-US" w:eastAsia="zh-CN"/>
        </w:rPr>
      </w:pPr>
      <w:r>
        <w:rPr>
          <w:rFonts w:hint="eastAsia" w:ascii="仿宋" w:hAnsi="仿宋" w:eastAsia="仿宋" w:cs="Times New Roman"/>
          <w:b/>
          <w:kern w:val="0"/>
          <w:sz w:val="32"/>
          <w:szCs w:val="32"/>
          <w:lang w:val="en-US" w:eastAsia="zh-CN"/>
        </w:rPr>
        <w:t>4.租赁房源结构区域发生变化</w:t>
      </w:r>
    </w:p>
    <w:p>
      <w:pPr>
        <w:numPr>
          <w:ilvl w:val="0"/>
          <w:numId w:val="0"/>
        </w:numPr>
        <w:snapToGrid w:val="0"/>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3房租赁需求的上升，其中3月份3房租赁成交的占比达到33.4%，环比上升4.1%，2房租赁成交占31.3%，环比上升7.4%，而一房与单方租赁成交占比则有所下滑，两种户型租赁房源占比总和不超过3成。</w:t>
      </w:r>
    </w:p>
    <w:p>
      <w:pPr>
        <w:numPr>
          <w:ilvl w:val="0"/>
          <w:numId w:val="0"/>
        </w:numPr>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这能在一定程度上说明</w:t>
      </w:r>
      <w:r>
        <w:rPr>
          <w:rFonts w:hint="eastAsia" w:ascii="仿宋" w:hAnsi="仿宋" w:eastAsia="仿宋"/>
          <w:sz w:val="32"/>
          <w:szCs w:val="32"/>
          <w:u w:val="single"/>
          <w:lang w:val="en-US" w:eastAsia="zh-CN"/>
        </w:rPr>
        <w:t>我市租赁市场的稳定性较高</w:t>
      </w:r>
      <w:r>
        <w:rPr>
          <w:rFonts w:hint="eastAsia" w:ascii="仿宋" w:hAnsi="仿宋" w:eastAsia="仿宋"/>
          <w:sz w:val="32"/>
          <w:szCs w:val="32"/>
          <w:lang w:val="en-US" w:eastAsia="zh-CN"/>
        </w:rPr>
        <w:t>（相比一房与单身公寓，三房更多为家庭租赁住房需求）。</w:t>
      </w:r>
    </w:p>
    <w:p>
      <w:pPr>
        <w:snapToGrid w:val="0"/>
        <w:spacing w:line="560" w:lineRule="exact"/>
        <w:ind w:firstLine="643" w:firstLineChars="200"/>
        <w:rPr>
          <w:rFonts w:hint="eastAsia" w:ascii="仿宋" w:hAnsi="仿宋" w:eastAsia="仿宋" w:cs="Times New Roman"/>
          <w:b/>
          <w:kern w:val="0"/>
          <w:sz w:val="32"/>
          <w:szCs w:val="32"/>
          <w:lang w:eastAsia="zh-CN"/>
        </w:rPr>
      </w:pPr>
      <w:r>
        <w:rPr>
          <w:rFonts w:hint="eastAsia" w:ascii="仿宋" w:hAnsi="仿宋" w:eastAsia="仿宋" w:cs="Times New Roman"/>
          <w:b/>
          <w:kern w:val="0"/>
          <w:sz w:val="32"/>
          <w:szCs w:val="32"/>
        </w:rPr>
        <w:t>三、</w:t>
      </w:r>
      <w:r>
        <w:rPr>
          <w:rFonts w:hint="eastAsia" w:ascii="仿宋" w:hAnsi="仿宋" w:eastAsia="仿宋" w:cs="Times New Roman"/>
          <w:b/>
          <w:kern w:val="0"/>
          <w:sz w:val="32"/>
          <w:szCs w:val="32"/>
          <w:lang w:eastAsia="zh-CN"/>
        </w:rPr>
        <w:t>危中向稳，但仍存变数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（一）买卖市场与租赁市场“冰火两重天”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总体看，今年自疫情爆发以来，我市房地产市场经历了较为大幅度的波动行情，</w:t>
      </w:r>
      <w:r>
        <w:rPr>
          <w:rFonts w:hint="eastAsia" w:ascii="仿宋" w:hAnsi="仿宋" w:eastAsia="仿宋" w:cs="仿宋"/>
          <w:sz w:val="32"/>
          <w:szCs w:val="32"/>
          <w:u w:val="single"/>
          <w:lang w:eastAsia="zh-CN"/>
        </w:rPr>
        <w:t>特别是前阶段买卖市场的火热与租赁市场的冷清形成了鲜明对比。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从原因上分析，深房中协认为，一</w:t>
      </w:r>
      <w:r>
        <w:rPr>
          <w:rFonts w:hint="eastAsia" w:ascii="仿宋" w:hAnsi="仿宋" w:eastAsia="仿宋" w:cs="仿宋"/>
          <w:sz w:val="32"/>
          <w:szCs w:val="32"/>
          <w:u w:val="single"/>
          <w:lang w:eastAsia="zh-CN"/>
        </w:rPr>
        <w:t>是买卖市场</w:t>
      </w:r>
      <w:r>
        <w:rPr>
          <w:rFonts w:hint="eastAsia" w:ascii="仿宋" w:hAnsi="仿宋" w:eastAsia="仿宋" w:cs="仿宋"/>
          <w:sz w:val="32"/>
          <w:szCs w:val="32"/>
          <w:u w:val="single"/>
        </w:rPr>
        <w:t>因疫情期间和节前积压的需求叠加释放，很大程度上是受到了不正常炒作的影响，在一定程度上是提前透支了二季度，甚至整个下半年的市场需求</w:t>
      </w:r>
      <w:r>
        <w:rPr>
          <w:rFonts w:hint="eastAsia" w:ascii="仿宋" w:hAnsi="仿宋" w:eastAsia="仿宋" w:cs="仿宋"/>
          <w:sz w:val="32"/>
          <w:szCs w:val="32"/>
          <w:u w:val="single"/>
          <w:lang w:eastAsia="zh-CN"/>
        </w:rPr>
        <w:t>；</w:t>
      </w:r>
      <w:r>
        <w:rPr>
          <w:rFonts w:hint="eastAsia" w:ascii="仿宋" w:hAnsi="仿宋" w:eastAsia="仿宋" w:cs="仿宋"/>
          <w:sz w:val="32"/>
          <w:szCs w:val="32"/>
          <w:lang w:eastAsia="zh-CN"/>
        </w:rPr>
        <w:t>二是部分购房者的确是</w:t>
      </w:r>
      <w:r>
        <w:rPr>
          <w:rFonts w:hint="eastAsia" w:ascii="仿宋" w:hAnsi="仿宋" w:eastAsia="仿宋" w:cs="仿宋"/>
          <w:sz w:val="32"/>
          <w:szCs w:val="32"/>
          <w:u w:val="single"/>
          <w:lang w:eastAsia="zh-CN"/>
        </w:rPr>
        <w:t>基于深圳房地产市场投资保值的需求考虑，</w:t>
      </w:r>
      <w:r>
        <w:rPr>
          <w:rFonts w:hint="eastAsia" w:ascii="仿宋" w:hAnsi="仿宋" w:eastAsia="仿宋" w:cs="仿宋"/>
          <w:sz w:val="32"/>
          <w:szCs w:val="32"/>
          <w:lang w:eastAsia="zh-CN"/>
        </w:rPr>
        <w:t>综合导致了</w:t>
      </w:r>
      <w:r>
        <w:rPr>
          <w:rFonts w:hint="eastAsia" w:ascii="仿宋" w:hAnsi="仿宋" w:eastAsia="仿宋" w:cs="仿宋"/>
          <w:sz w:val="32"/>
          <w:szCs w:val="32"/>
          <w:lang w:val="en-US" w:eastAsia="zh-CN"/>
        </w:rPr>
        <w:t>一季度深圳楼市的“火热”。</w:t>
      </w:r>
      <w:r>
        <w:rPr>
          <w:rFonts w:hint="eastAsia" w:ascii="仿宋" w:hAnsi="仿宋" w:eastAsia="仿宋" w:cs="仿宋"/>
          <w:sz w:val="32"/>
          <w:szCs w:val="32"/>
          <w:lang w:eastAsia="zh-CN"/>
        </w:rPr>
        <w:t>而租赁市场的“冷清”，</w:t>
      </w:r>
      <w:r>
        <w:rPr>
          <w:rFonts w:hint="eastAsia" w:ascii="仿宋" w:hAnsi="仿宋" w:eastAsia="仿宋" w:cs="仿宋"/>
          <w:sz w:val="32"/>
          <w:szCs w:val="32"/>
          <w:u w:val="single"/>
          <w:lang w:eastAsia="zh-CN"/>
        </w:rPr>
        <w:t>则更多的是与疫情和深圳人口结构以及产业结构的特殊性存在关联性</w:t>
      </w:r>
      <w:r>
        <w:rPr>
          <w:rFonts w:hint="eastAsia" w:ascii="仿宋" w:hAnsi="仿宋" w:eastAsia="仿宋" w:cs="仿宋"/>
          <w:sz w:val="32"/>
          <w:szCs w:val="32"/>
          <w:lang w:eastAsia="zh-CN"/>
        </w:rPr>
        <w:t>。众所周知，深圳人口结构中外来流动人口占据主导地位，而疫情对经济的影响程度超出预期，在很大程度上造成了</w:t>
      </w:r>
      <w:r>
        <w:rPr>
          <w:rFonts w:hint="eastAsia" w:ascii="仿宋" w:hAnsi="仿宋" w:eastAsia="仿宋" w:cs="仿宋"/>
          <w:sz w:val="32"/>
          <w:szCs w:val="32"/>
          <w:u w:val="single"/>
          <w:lang w:eastAsia="zh-CN"/>
        </w:rPr>
        <w:t>外来流动人口流入放缓</w:t>
      </w:r>
      <w:r>
        <w:rPr>
          <w:rFonts w:hint="eastAsia" w:ascii="仿宋" w:hAnsi="仿宋" w:eastAsia="仿宋" w:cs="仿宋"/>
          <w:sz w:val="32"/>
          <w:szCs w:val="32"/>
          <w:lang w:eastAsia="zh-CN"/>
        </w:rPr>
        <w:t>，甚至出现因部分企业倒闭，产业外迁而造成</w:t>
      </w:r>
      <w:r>
        <w:rPr>
          <w:rFonts w:hint="eastAsia" w:ascii="仿宋" w:hAnsi="仿宋" w:eastAsia="仿宋" w:cs="仿宋"/>
          <w:sz w:val="32"/>
          <w:szCs w:val="32"/>
          <w:u w:val="single"/>
          <w:lang w:eastAsia="zh-CN"/>
        </w:rPr>
        <w:t>外来人口的反向输出</w:t>
      </w:r>
      <w:r>
        <w:rPr>
          <w:rFonts w:hint="eastAsia" w:ascii="仿宋" w:hAnsi="仿宋" w:eastAsia="仿宋" w:cs="仿宋"/>
          <w:sz w:val="32"/>
          <w:szCs w:val="32"/>
          <w:lang w:eastAsia="zh-CN"/>
        </w:rPr>
        <w:t>，</w:t>
      </w:r>
      <w:r>
        <w:rPr>
          <w:rFonts w:hint="eastAsia" w:ascii="仿宋" w:hAnsi="仿宋" w:eastAsia="仿宋" w:cs="仿宋"/>
          <w:sz w:val="32"/>
          <w:szCs w:val="32"/>
          <w:u w:val="single"/>
          <w:lang w:eastAsia="zh-CN"/>
        </w:rPr>
        <w:t>在一定程度上导致租赁需求在短期内有所减少</w:t>
      </w:r>
      <w:r>
        <w:rPr>
          <w:rFonts w:hint="eastAsia" w:ascii="仿宋" w:hAnsi="仿宋" w:eastAsia="仿宋" w:cs="仿宋"/>
          <w:sz w:val="32"/>
          <w:szCs w:val="32"/>
          <w:lang w:eastAsia="zh-CN"/>
        </w:rPr>
        <w:t>；另一方面，由于前段时间买卖市场的火热，在一定程度造成了</w:t>
      </w:r>
      <w:r>
        <w:rPr>
          <w:rFonts w:hint="eastAsia" w:ascii="仿宋" w:hAnsi="仿宋" w:eastAsia="仿宋" w:cs="仿宋"/>
          <w:sz w:val="32"/>
          <w:szCs w:val="32"/>
          <w:u w:val="single"/>
          <w:lang w:eastAsia="zh-CN"/>
        </w:rPr>
        <w:t>部分有购买能力的租赁群体转化成了买卖群体</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（二）未来持谨慎态度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总体而言，</w:t>
      </w:r>
      <w:r>
        <w:rPr>
          <w:rFonts w:hint="eastAsia" w:ascii="仿宋" w:hAnsi="仿宋" w:eastAsia="仿宋" w:cs="仿宋"/>
          <w:sz w:val="32"/>
          <w:szCs w:val="32"/>
          <w:u w:val="single"/>
          <w:lang w:eastAsia="zh-CN"/>
        </w:rPr>
        <w:t>租赁市场与短期经济表现的敏感度要比买卖市场更高</w:t>
      </w:r>
      <w:r>
        <w:rPr>
          <w:rFonts w:hint="eastAsia" w:ascii="仿宋" w:hAnsi="仿宋" w:eastAsia="仿宋" w:cs="仿宋"/>
          <w:sz w:val="32"/>
          <w:szCs w:val="32"/>
          <w:lang w:eastAsia="zh-CN"/>
        </w:rPr>
        <w:t>（这与买卖市场不动产具备金融属性也有一定关联）。</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因此，深房中协预计，随着疫情防控形势的不断好转，以及全市范围内的复工复产推进，我市经济正步入了企稳反弹阶段，未来，</w:t>
      </w:r>
      <w:r>
        <w:rPr>
          <w:rFonts w:hint="eastAsia" w:ascii="仿宋" w:hAnsi="仿宋" w:eastAsia="仿宋" w:cs="仿宋"/>
          <w:sz w:val="32"/>
          <w:szCs w:val="32"/>
          <w:u w:val="single"/>
          <w:lang w:eastAsia="zh-CN"/>
        </w:rPr>
        <w:t>租赁市场的活跃性将会随着经济复苏而重回正常</w:t>
      </w:r>
      <w:r>
        <w:rPr>
          <w:rFonts w:hint="eastAsia" w:ascii="仿宋" w:hAnsi="仿宋" w:eastAsia="仿宋" w:cs="仿宋"/>
          <w:sz w:val="32"/>
          <w:szCs w:val="32"/>
          <w:lang w:eastAsia="zh-CN"/>
        </w:rPr>
        <w:t>。但由于目前国际疫情蔓延趋势仍未得到遏制，同时，我国的国际经贸格局也经历着前所未有的挑战，深圳作为外向型经济与制造业占主导的城市，对外依存度高，未来不排除受国际经济下行的拖累，而导致我市经济基本面的波动与下行压力加剧，因此，总体上对深圳租赁市场持谨慎态度。</w:t>
      </w:r>
    </w:p>
    <w:sectPr>
      <w:pgSz w:w="11906" w:h="16838"/>
      <w:pgMar w:top="1701" w:right="1701" w:bottom="158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D6"/>
    <w:rsid w:val="00005BE3"/>
    <w:rsid w:val="00016019"/>
    <w:rsid w:val="00027CAB"/>
    <w:rsid w:val="0004430F"/>
    <w:rsid w:val="00076E2C"/>
    <w:rsid w:val="000D4ACA"/>
    <w:rsid w:val="000D6BD6"/>
    <w:rsid w:val="000E5B82"/>
    <w:rsid w:val="000E6253"/>
    <w:rsid w:val="000F29D6"/>
    <w:rsid w:val="000F33B7"/>
    <w:rsid w:val="000F4D84"/>
    <w:rsid w:val="000F54BF"/>
    <w:rsid w:val="000F581D"/>
    <w:rsid w:val="001412B6"/>
    <w:rsid w:val="00151DEB"/>
    <w:rsid w:val="00190926"/>
    <w:rsid w:val="001974E8"/>
    <w:rsid w:val="001B1597"/>
    <w:rsid w:val="001D274F"/>
    <w:rsid w:val="001E1154"/>
    <w:rsid w:val="001F0FBB"/>
    <w:rsid w:val="001F6D63"/>
    <w:rsid w:val="002065D8"/>
    <w:rsid w:val="00217127"/>
    <w:rsid w:val="00261116"/>
    <w:rsid w:val="00273FF8"/>
    <w:rsid w:val="002813F3"/>
    <w:rsid w:val="0028405C"/>
    <w:rsid w:val="00290A19"/>
    <w:rsid w:val="00293F2B"/>
    <w:rsid w:val="00317454"/>
    <w:rsid w:val="00320646"/>
    <w:rsid w:val="00335710"/>
    <w:rsid w:val="00341F05"/>
    <w:rsid w:val="003441B0"/>
    <w:rsid w:val="00345B53"/>
    <w:rsid w:val="003546AC"/>
    <w:rsid w:val="0039725D"/>
    <w:rsid w:val="003C7E52"/>
    <w:rsid w:val="003D350F"/>
    <w:rsid w:val="004030A3"/>
    <w:rsid w:val="00403960"/>
    <w:rsid w:val="00406A58"/>
    <w:rsid w:val="00416385"/>
    <w:rsid w:val="00432068"/>
    <w:rsid w:val="00454692"/>
    <w:rsid w:val="00483802"/>
    <w:rsid w:val="004862FC"/>
    <w:rsid w:val="00495FD9"/>
    <w:rsid w:val="004B36AC"/>
    <w:rsid w:val="004B4BF3"/>
    <w:rsid w:val="004C14CE"/>
    <w:rsid w:val="004C69E0"/>
    <w:rsid w:val="004E0D74"/>
    <w:rsid w:val="004E5D38"/>
    <w:rsid w:val="0050205A"/>
    <w:rsid w:val="00525E8A"/>
    <w:rsid w:val="00530F04"/>
    <w:rsid w:val="00557EF7"/>
    <w:rsid w:val="005A59AB"/>
    <w:rsid w:val="005D0960"/>
    <w:rsid w:val="005F1EDF"/>
    <w:rsid w:val="005F7D3E"/>
    <w:rsid w:val="006560D3"/>
    <w:rsid w:val="006872E8"/>
    <w:rsid w:val="006B6250"/>
    <w:rsid w:val="006D40C3"/>
    <w:rsid w:val="006D7DDA"/>
    <w:rsid w:val="006E4ECA"/>
    <w:rsid w:val="006E6833"/>
    <w:rsid w:val="00711E7C"/>
    <w:rsid w:val="0075087A"/>
    <w:rsid w:val="00754E95"/>
    <w:rsid w:val="00755292"/>
    <w:rsid w:val="00756FF8"/>
    <w:rsid w:val="007631A0"/>
    <w:rsid w:val="007718E0"/>
    <w:rsid w:val="00776BEF"/>
    <w:rsid w:val="007C060B"/>
    <w:rsid w:val="007C75C5"/>
    <w:rsid w:val="007E1D7A"/>
    <w:rsid w:val="0082699B"/>
    <w:rsid w:val="00826BC5"/>
    <w:rsid w:val="00836440"/>
    <w:rsid w:val="00850207"/>
    <w:rsid w:val="00850C39"/>
    <w:rsid w:val="00853910"/>
    <w:rsid w:val="0086419B"/>
    <w:rsid w:val="008855F3"/>
    <w:rsid w:val="008E14C0"/>
    <w:rsid w:val="008E5679"/>
    <w:rsid w:val="008F0768"/>
    <w:rsid w:val="008F6FD0"/>
    <w:rsid w:val="00975319"/>
    <w:rsid w:val="00977E16"/>
    <w:rsid w:val="009F7FEB"/>
    <w:rsid w:val="00A15296"/>
    <w:rsid w:val="00A16C91"/>
    <w:rsid w:val="00A47A25"/>
    <w:rsid w:val="00A852B4"/>
    <w:rsid w:val="00AB6892"/>
    <w:rsid w:val="00AB6974"/>
    <w:rsid w:val="00AC6CC4"/>
    <w:rsid w:val="00B12782"/>
    <w:rsid w:val="00B356D9"/>
    <w:rsid w:val="00B47497"/>
    <w:rsid w:val="00B8220A"/>
    <w:rsid w:val="00B86FE2"/>
    <w:rsid w:val="00BD3044"/>
    <w:rsid w:val="00BF60A9"/>
    <w:rsid w:val="00C132DE"/>
    <w:rsid w:val="00C16670"/>
    <w:rsid w:val="00C20603"/>
    <w:rsid w:val="00C2497C"/>
    <w:rsid w:val="00C370B1"/>
    <w:rsid w:val="00C520EC"/>
    <w:rsid w:val="00C768B9"/>
    <w:rsid w:val="00C9283F"/>
    <w:rsid w:val="00C973EA"/>
    <w:rsid w:val="00CB656D"/>
    <w:rsid w:val="00CD2477"/>
    <w:rsid w:val="00CF39E7"/>
    <w:rsid w:val="00D1431E"/>
    <w:rsid w:val="00D23B8A"/>
    <w:rsid w:val="00D3581A"/>
    <w:rsid w:val="00D35C25"/>
    <w:rsid w:val="00D561B1"/>
    <w:rsid w:val="00D67470"/>
    <w:rsid w:val="00D9226E"/>
    <w:rsid w:val="00DA0672"/>
    <w:rsid w:val="00DA2DF5"/>
    <w:rsid w:val="00DB12CE"/>
    <w:rsid w:val="00DC0B34"/>
    <w:rsid w:val="00DE26D9"/>
    <w:rsid w:val="00DE52CE"/>
    <w:rsid w:val="00E017F3"/>
    <w:rsid w:val="00E14D8A"/>
    <w:rsid w:val="00E17DCE"/>
    <w:rsid w:val="00E21793"/>
    <w:rsid w:val="00E31B5C"/>
    <w:rsid w:val="00E37F32"/>
    <w:rsid w:val="00E455C6"/>
    <w:rsid w:val="00E6302F"/>
    <w:rsid w:val="00E775AE"/>
    <w:rsid w:val="00E7791C"/>
    <w:rsid w:val="00E80B82"/>
    <w:rsid w:val="00E82651"/>
    <w:rsid w:val="00E87D02"/>
    <w:rsid w:val="00E91DE5"/>
    <w:rsid w:val="00EA0C66"/>
    <w:rsid w:val="00EA3848"/>
    <w:rsid w:val="00EA72F7"/>
    <w:rsid w:val="00EB4050"/>
    <w:rsid w:val="00EC3549"/>
    <w:rsid w:val="00ED7B11"/>
    <w:rsid w:val="00F01F1C"/>
    <w:rsid w:val="00F20114"/>
    <w:rsid w:val="00F40A8A"/>
    <w:rsid w:val="00F412EA"/>
    <w:rsid w:val="00F44560"/>
    <w:rsid w:val="00F45E86"/>
    <w:rsid w:val="00F51154"/>
    <w:rsid w:val="00F51C34"/>
    <w:rsid w:val="00F53F89"/>
    <w:rsid w:val="00F62158"/>
    <w:rsid w:val="00F770B8"/>
    <w:rsid w:val="00F840F2"/>
    <w:rsid w:val="00F93DBC"/>
    <w:rsid w:val="00F97164"/>
    <w:rsid w:val="00FA6DFF"/>
    <w:rsid w:val="00FA77CD"/>
    <w:rsid w:val="00FB165F"/>
    <w:rsid w:val="00FC2257"/>
    <w:rsid w:val="091B157C"/>
    <w:rsid w:val="0CCE2AC0"/>
    <w:rsid w:val="1E521951"/>
    <w:rsid w:val="28F31E1C"/>
    <w:rsid w:val="35CF42D6"/>
    <w:rsid w:val="40C93426"/>
    <w:rsid w:val="40E76215"/>
    <w:rsid w:val="40FA3C80"/>
    <w:rsid w:val="4964176E"/>
    <w:rsid w:val="4A825B50"/>
    <w:rsid w:val="4B976CCA"/>
    <w:rsid w:val="5D4F4DD2"/>
    <w:rsid w:val="5FB5585F"/>
    <w:rsid w:val="61C725D0"/>
    <w:rsid w:val="71DD39FC"/>
    <w:rsid w:val="74894BF7"/>
    <w:rsid w:val="7C227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7"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link w:val="15"/>
    <w:qFormat/>
    <w:uiPriority w:val="7"/>
    <w:pPr>
      <w:jc w:val="both"/>
      <w:outlineLvl w:val="0"/>
    </w:pPr>
    <w:rPr>
      <w:rFonts w:ascii="Calibri" w:hAnsi="Calibri" w:eastAsia="宋体" w:cs="Times New Roman"/>
      <w:sz w:val="28"/>
      <w:szCs w:val="28"/>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unhideWhenUsed/>
    <w:qFormat/>
    <w:uiPriority w:val="99"/>
    <w:pPr>
      <w:jc w:val="left"/>
    </w:pPr>
  </w:style>
  <w:style w:type="paragraph" w:styleId="4">
    <w:name w:val="Balloon Text"/>
    <w:basedOn w:val="1"/>
    <w:link w:val="14"/>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rFonts w:cs="Times New Roman"/>
      <w:kern w:val="0"/>
      <w:sz w:val="24"/>
    </w:rPr>
  </w:style>
  <w:style w:type="character" w:styleId="10">
    <w:name w:val="Strong"/>
    <w:basedOn w:val="9"/>
    <w:qFormat/>
    <w:uiPriority w:val="22"/>
    <w:rPr>
      <w:b/>
    </w:rPr>
  </w:style>
  <w:style w:type="character" w:styleId="11">
    <w:name w:val="Emphasis"/>
    <w:basedOn w:val="9"/>
    <w:qFormat/>
    <w:uiPriority w:val="20"/>
    <w:rPr>
      <w:i/>
    </w:rPr>
  </w:style>
  <w:style w:type="character" w:styleId="12">
    <w:name w:val="annotation reference"/>
    <w:basedOn w:val="9"/>
    <w:semiHidden/>
    <w:unhideWhenUsed/>
    <w:qFormat/>
    <w:uiPriority w:val="99"/>
    <w:rPr>
      <w:sz w:val="21"/>
      <w:szCs w:val="21"/>
    </w:rPr>
  </w:style>
  <w:style w:type="paragraph" w:styleId="13">
    <w:name w:val="List Paragraph"/>
    <w:basedOn w:val="1"/>
    <w:unhideWhenUsed/>
    <w:qFormat/>
    <w:uiPriority w:val="99"/>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标题 1 Char"/>
    <w:basedOn w:val="9"/>
    <w:link w:val="2"/>
    <w:qFormat/>
    <w:uiPriority w:val="7"/>
    <w:rPr>
      <w:rFonts w:ascii="Calibri" w:hAnsi="Calibri"/>
      <w:sz w:val="28"/>
      <w:szCs w:val="28"/>
    </w:rPr>
  </w:style>
  <w:style w:type="character" w:customStyle="1" w:styleId="16">
    <w:name w:val="批注文字 Char"/>
    <w:basedOn w:val="9"/>
    <w:link w:val="3"/>
    <w:qFormat/>
    <w:uiPriority w:val="99"/>
    <w:rPr>
      <w:rFonts w:asciiTheme="minorHAnsi" w:hAnsiTheme="minorHAnsi" w:eastAsiaTheme="minorEastAsia" w:cstheme="minorBidi"/>
      <w:kern w:val="2"/>
      <w:sz w:val="21"/>
      <w:szCs w:val="22"/>
    </w:rPr>
  </w:style>
  <w:style w:type="character" w:customStyle="1" w:styleId="17">
    <w:name w:val="页眉 Char"/>
    <w:basedOn w:val="9"/>
    <w:link w:val="6"/>
    <w:qFormat/>
    <w:uiPriority w:val="99"/>
    <w:rPr>
      <w:rFonts w:asciiTheme="minorHAnsi" w:hAnsiTheme="minorHAnsi" w:eastAsiaTheme="minorEastAsia" w:cstheme="minorBidi"/>
      <w:kern w:val="2"/>
      <w:sz w:val="18"/>
      <w:szCs w:val="18"/>
    </w:rPr>
  </w:style>
  <w:style w:type="character" w:customStyle="1" w:styleId="18">
    <w:name w:val="页脚 Char"/>
    <w:basedOn w:val="9"/>
    <w:link w:val="5"/>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C1E5F8-7EE5-446D-AF63-ECC925D72316}">
  <ds:schemaRefs/>
</ds:datastoreItem>
</file>

<file path=docProps/app.xml><?xml version="1.0" encoding="utf-8"?>
<Properties xmlns="http://schemas.openxmlformats.org/officeDocument/2006/extended-properties" xmlns:vt="http://schemas.openxmlformats.org/officeDocument/2006/docPropsVTypes">
  <Template>Normal</Template>
  <Pages>10</Pages>
  <Words>834</Words>
  <Characters>4759</Characters>
  <Lines>39</Lines>
  <Paragraphs>11</Paragraphs>
  <TotalTime>58</TotalTime>
  <ScaleCrop>false</ScaleCrop>
  <LinksUpToDate>false</LinksUpToDate>
  <CharactersWithSpaces>5582</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2019-09-06T06:16:00Z</dcterms:created>
  <dc:creator>huah</dc:creator>
  <cp:lastModifiedBy>深房中协—华洪</cp:lastModifiedBy>
  <cp:lastPrinted>2020-05-12T04:35:00Z</cp:lastPrinted>
  <dcterms:modified xsi:type="dcterms:W3CDTF">2020-05-20T08:25:09Z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