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黑体" w:hAnsi="黑体" w:eastAsia="黑体" w:cs="黑体"/>
          <w:b/>
          <w:bCs/>
          <w:sz w:val="44"/>
          <w:szCs w:val="44"/>
          <w:lang w:val="en-US" w:eastAsia="zh-CN"/>
        </w:rPr>
        <w:t>协会来了之3月楼市小结</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“山重水复疑无路，</w:t>
      </w:r>
      <w:r>
        <w:rPr>
          <w:rFonts w:hint="default" w:ascii="仿宋" w:hAnsi="仿宋" w:eastAsia="仿宋" w:cs="仿宋"/>
          <w:sz w:val="32"/>
          <w:szCs w:val="32"/>
          <w:lang w:val="en-US" w:eastAsia="zh-CN"/>
        </w:rPr>
        <w:t>柳暗花明又一村</w:t>
      </w:r>
      <w:r>
        <w:rPr>
          <w:rFonts w:hint="eastAsia" w:ascii="仿宋" w:hAnsi="仿宋" w:eastAsia="仿宋" w:cs="仿宋"/>
          <w:sz w:val="32"/>
          <w:szCs w:val="32"/>
          <w:lang w:val="en-US" w:eastAsia="zh-CN"/>
        </w:rPr>
        <w:t>”这句诗词最能直观地体现出深圳3月份楼市的状态。回顾1月末2月初，突如其来的疫情，不仅让鼠年的春节“泡了汤”，也打乱了国民经济发展与百姓正常生活的节奏，导致在疫情最严重的2月份期间，全国范围内普遍陷入停工停产状态，房地产中介行业也不能独善其身。同时，传统2月份叠加春节假期效应，楼市较全年而言本来就处于一个低位运行状态，在</w:t>
      </w:r>
      <w:bookmarkStart w:id="0" w:name="_GoBack"/>
      <w:bookmarkEnd w:id="0"/>
      <w:r>
        <w:rPr>
          <w:rFonts w:hint="eastAsia" w:ascii="仿宋" w:hAnsi="仿宋" w:eastAsia="仿宋" w:cs="仿宋"/>
          <w:sz w:val="32"/>
          <w:szCs w:val="32"/>
          <w:lang w:val="en-US" w:eastAsia="zh-CN"/>
        </w:rPr>
        <w:t>受此叠加影响下，2月份深圳楼市处于“停罢”状态，并且对于市场与行业的信心也造成了一定影响。</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但随着进入3月份以来，全国防控疫情迅速好转，各行各业加快复工复产步伐，对于深圳楼市而言，由于疫情和春节效应而挤压的刚需以及1月份市场惯性的作用，导致复工复产后，市场成交量迅速反弹恢复，根据深房中协中标准指数统计，3月份深圳一手住宅共成交3152套，同比增长2.1%，二手房共成交5527套，同比虽有24.3%的降幅，但环比2月份却大幅反弹245%！。</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898525</wp:posOffset>
                </wp:positionH>
                <wp:positionV relativeFrom="paragraph">
                  <wp:posOffset>33655</wp:posOffset>
                </wp:positionV>
                <wp:extent cx="657860" cy="293370"/>
                <wp:effectExtent l="0" t="0" r="0" b="0"/>
                <wp:wrapNone/>
                <wp:docPr id="2" name="矩形 2"/>
                <wp:cNvGraphicFramePr/>
                <a:graphic xmlns:a="http://schemas.openxmlformats.org/drawingml/2006/main">
                  <a:graphicData uri="http://schemas.microsoft.com/office/word/2010/wordprocessingShape">
                    <wps:wsp>
                      <wps:cNvSpPr/>
                      <wps:spPr>
                        <a:xfrm>
                          <a:off x="5039995" y="5999480"/>
                          <a:ext cx="657860" cy="293370"/>
                        </a:xfrm>
                        <a:prstGeom prst="rect">
                          <a:avLst/>
                        </a:prstGeom>
                        <a:noFill/>
                        <a:ln w="12700" cmpd="sng">
                          <a:no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color w:val="000000" w:themeColor="text1"/>
                                <w:sz w:val="18"/>
                                <w:szCs w:val="21"/>
                                <w:lang w:eastAsia="zh-CN"/>
                                <w14:textFill>
                                  <w14:solidFill>
                                    <w14:schemeClr w14:val="tx1"/>
                                  </w14:solidFill>
                                </w14:textFill>
                              </w:rPr>
                            </w:pPr>
                            <w:r>
                              <w:rPr>
                                <w:rFonts w:hint="eastAsia"/>
                                <w:color w:val="000000" w:themeColor="text1"/>
                                <w:sz w:val="18"/>
                                <w:szCs w:val="21"/>
                                <w:lang w:eastAsia="zh-CN"/>
                                <w14:textFill>
                                  <w14:solidFill>
                                    <w14:schemeClr w14:val="tx1"/>
                                  </w14:solidFill>
                                </w14:textFill>
                              </w:rPr>
                              <w:t>单位：套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0.75pt;margin-top:2.65pt;height:23.1pt;width:51.8pt;z-index:251659264;v-text-anchor:middle;mso-width-relative:page;mso-height-relative:page;" filled="f" stroked="f" coordsize="21600,21600" o:gfxdata="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kxjm6tUAAAAIAQAADwAAAAAA&#10;AAABACAAAAAiAAAAZHJzL2Rvd25yZXYueG1sUEsBAhQAFAAAAAgAh07iQEu1LIRPAgAAagQAAA4A&#10;AAAAAAAAAQAgAAAAJAEAAGRycy9lMm9Eb2MueG1sUEsFBgAAAAAGAAYAWQEAAOUFAAAAAA==&#10;">
                <v:fill on="f" focussize="0,0"/>
                <v:stroke on="f" weight="1pt" miterlimit="8" joinstyle="miter"/>
                <v:imagedata o:title=""/>
                <o:lock v:ext="edit" aspectratio="f"/>
                <v:textbox>
                  <w:txbxContent>
                    <w:p>
                      <w:pPr>
                        <w:jc w:val="center"/>
                        <w:rPr>
                          <w:rFonts w:hint="eastAsia" w:eastAsiaTheme="minorEastAsia"/>
                          <w:color w:val="000000" w:themeColor="text1"/>
                          <w:sz w:val="18"/>
                          <w:szCs w:val="21"/>
                          <w:lang w:eastAsia="zh-CN"/>
                          <w14:textFill>
                            <w14:solidFill>
                              <w14:schemeClr w14:val="tx1"/>
                            </w14:solidFill>
                          </w14:textFill>
                        </w:rPr>
                      </w:pPr>
                      <w:r>
                        <w:rPr>
                          <w:rFonts w:hint="eastAsia"/>
                          <w:color w:val="000000" w:themeColor="text1"/>
                          <w:sz w:val="18"/>
                          <w:szCs w:val="21"/>
                          <w:lang w:eastAsia="zh-CN"/>
                          <w14:textFill>
                            <w14:solidFill>
                              <w14:schemeClr w14:val="tx1"/>
                            </w14:solidFill>
                          </w14:textFill>
                        </w:rPr>
                        <w:t>单位：套</w:t>
                      </w:r>
                    </w:p>
                  </w:txbxContent>
                </v:textbox>
              </v:rect>
            </w:pict>
          </mc:Fallback>
        </mc:AlternateContent>
      </w:r>
      <w:r>
        <w:rPr>
          <w:rFonts w:hint="default" w:ascii="仿宋" w:hAnsi="仿宋" w:eastAsia="仿宋" w:cs="仿宋"/>
          <w:sz w:val="32"/>
          <w:szCs w:val="32"/>
          <w:lang w:val="en-US" w:eastAsia="zh-CN"/>
        </w:rPr>
        <w:drawing>
          <wp:anchor distT="0" distB="0" distL="114300" distR="114300" simplePos="0" relativeHeight="251658240" behindDoc="1" locked="0" layoutInCell="1" allowOverlap="1">
            <wp:simplePos x="0" y="0"/>
            <wp:positionH relativeFrom="column">
              <wp:posOffset>814070</wp:posOffset>
            </wp:positionH>
            <wp:positionV relativeFrom="paragraph">
              <wp:posOffset>48260</wp:posOffset>
            </wp:positionV>
            <wp:extent cx="3972560" cy="2609215"/>
            <wp:effectExtent l="0" t="0" r="8890" b="63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anchor>
        </w:drawing>
      </w:r>
    </w:p>
    <w:p>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（数据来源：深圳市住建局、深房中协）</w:t>
      </w: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column">
                  <wp:posOffset>3965575</wp:posOffset>
                </wp:positionH>
                <wp:positionV relativeFrom="paragraph">
                  <wp:posOffset>147955</wp:posOffset>
                </wp:positionV>
                <wp:extent cx="657860" cy="331470"/>
                <wp:effectExtent l="0" t="0" r="0" b="0"/>
                <wp:wrapNone/>
                <wp:docPr id="8" name="矩形 8"/>
                <wp:cNvGraphicFramePr/>
                <a:graphic xmlns:a="http://schemas.openxmlformats.org/drawingml/2006/main">
                  <a:graphicData uri="http://schemas.microsoft.com/office/word/2010/wordprocessingShape">
                    <wps:wsp>
                      <wps:cNvSpPr/>
                      <wps:spPr>
                        <a:xfrm>
                          <a:off x="0" y="0"/>
                          <a:ext cx="657860" cy="331470"/>
                        </a:xfrm>
                        <a:prstGeom prst="rect">
                          <a:avLst/>
                        </a:prstGeom>
                        <a:noFill/>
                        <a:ln w="12700" cmpd="sng">
                          <a:no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color w:val="000000" w:themeColor="text1"/>
                                <w:sz w:val="18"/>
                                <w:szCs w:val="21"/>
                                <w:lang w:eastAsia="zh-CN"/>
                                <w14:textFill>
                                  <w14:solidFill>
                                    <w14:schemeClr w14:val="tx1"/>
                                  </w14:solidFill>
                                </w14:textFill>
                              </w:rPr>
                            </w:pPr>
                            <w:r>
                              <w:rPr>
                                <w:rFonts w:hint="eastAsia"/>
                                <w:color w:val="000000" w:themeColor="text1"/>
                                <w:sz w:val="18"/>
                                <w:szCs w:val="21"/>
                                <w:lang w:eastAsia="zh-CN"/>
                                <w14:textFill>
                                  <w14:solidFill>
                                    <w14:schemeClr w14:val="tx1"/>
                                  </w14:solidFill>
                                </w14:textFill>
                              </w:rPr>
                              <w:t>单位：套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2.25pt;margin-top:11.65pt;height:26.1pt;width:51.8pt;z-index:251662336;v-text-anchor:middle;mso-width-relative:page;mso-height-relative:page;" filled="f" stroked="f" coordsize="21600,21600" o:gfxdata="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elFfxtgAAAAJAQAADwAAAAAAAAABACAAAAAi&#10;AAAAZHJzL2Rvd25yZXYueG1sUEsBAhQAFAAAAAgAh07iQP3WS8RDAgAAXgQAAA4AAAAAAAAAAQAg&#10;AAAAJwEAAGRycy9lMm9Eb2MueG1sUEsFBgAAAAAGAAYAWQEAANwFAAAAAA==&#10;">
                <v:fill on="f" focussize="0,0"/>
                <v:stroke on="f" weight="1pt" miterlimit="8" joinstyle="miter"/>
                <v:imagedata o:title=""/>
                <o:lock v:ext="edit" aspectratio="f"/>
                <v:textbox>
                  <w:txbxContent>
                    <w:p>
                      <w:pPr>
                        <w:jc w:val="center"/>
                        <w:rPr>
                          <w:rFonts w:hint="eastAsia" w:eastAsiaTheme="minorEastAsia"/>
                          <w:color w:val="000000" w:themeColor="text1"/>
                          <w:sz w:val="18"/>
                          <w:szCs w:val="21"/>
                          <w:lang w:eastAsia="zh-CN"/>
                          <w14:textFill>
                            <w14:solidFill>
                              <w14:schemeClr w14:val="tx1"/>
                            </w14:solidFill>
                          </w14:textFill>
                        </w:rPr>
                      </w:pPr>
                      <w:r>
                        <w:rPr>
                          <w:rFonts w:hint="eastAsia"/>
                          <w:color w:val="000000" w:themeColor="text1"/>
                          <w:sz w:val="18"/>
                          <w:szCs w:val="21"/>
                          <w:lang w:eastAsia="zh-CN"/>
                          <w14:textFill>
                            <w14:solidFill>
                              <w14:schemeClr w14:val="tx1"/>
                            </w14:solidFill>
                          </w14:textFill>
                        </w:rPr>
                        <w:t>单位：套</w:t>
                      </w:r>
                    </w:p>
                  </w:txbxContent>
                </v:textbox>
              </v:rect>
            </w:pict>
          </mc:Fallback>
        </mc:AlternateContent>
      </w:r>
      <w:r>
        <w:rPr>
          <w:sz w:val="32"/>
        </w:rPr>
        <mc:AlternateContent>
          <mc:Choice Requires="wps">
            <w:drawing>
              <wp:anchor distT="0" distB="0" distL="114300" distR="114300" simplePos="0" relativeHeight="251667456" behindDoc="0" locked="0" layoutInCell="1" allowOverlap="1">
                <wp:simplePos x="0" y="0"/>
                <wp:positionH relativeFrom="column">
                  <wp:posOffset>1280160</wp:posOffset>
                </wp:positionH>
                <wp:positionV relativeFrom="paragraph">
                  <wp:posOffset>147955</wp:posOffset>
                </wp:positionV>
                <wp:extent cx="2837815" cy="293370"/>
                <wp:effectExtent l="0" t="0" r="0" b="0"/>
                <wp:wrapNone/>
                <wp:docPr id="9" name="矩形 9"/>
                <wp:cNvGraphicFramePr/>
                <a:graphic xmlns:a="http://schemas.openxmlformats.org/drawingml/2006/main">
                  <a:graphicData uri="http://schemas.microsoft.com/office/word/2010/wordprocessingShape">
                    <wps:wsp>
                      <wps:cNvSpPr/>
                      <wps:spPr>
                        <a:xfrm>
                          <a:off x="0" y="0"/>
                          <a:ext cx="2837815" cy="293370"/>
                        </a:xfrm>
                        <a:prstGeom prst="rect">
                          <a:avLst/>
                        </a:prstGeom>
                        <a:noFill/>
                        <a:ln w="12700" cmpd="sng">
                          <a:no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ascii="黑体" w:hAnsi="黑体" w:eastAsia="黑体" w:cs="黑体"/>
                                <w:b/>
                                <w:bCs/>
                                <w:color w:val="000000" w:themeColor="text1"/>
                                <w:sz w:val="24"/>
                                <w:szCs w:val="32"/>
                                <w:lang w:val="en-US" w:eastAsia="zh-CN"/>
                                <w14:textFill>
                                  <w14:solidFill>
                                    <w14:schemeClr w14:val="tx1"/>
                                  </w14:solidFill>
                                </w14:textFill>
                              </w:rPr>
                            </w:pPr>
                            <w:r>
                              <w:rPr>
                                <w:rFonts w:hint="eastAsia" w:ascii="黑体" w:hAnsi="黑体" w:eastAsia="黑体" w:cs="黑体"/>
                                <w:b/>
                                <w:bCs/>
                                <w:color w:val="000000" w:themeColor="text1"/>
                                <w:sz w:val="24"/>
                                <w:szCs w:val="32"/>
                                <w:lang w:val="en-US" w:eastAsia="zh-CN"/>
                                <w14:textFill>
                                  <w14:solidFill>
                                    <w14:schemeClr w14:val="tx1"/>
                                  </w14:solidFill>
                                </w14:textFill>
                              </w:rPr>
                              <w:t>2020年1-3月二手房网签量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0.8pt;margin-top:11.65pt;height:23.1pt;width:223.45pt;z-index:251667456;v-text-anchor:middle;mso-width-relative:page;mso-height-relative:page;" filled="f" stroked="f" coordsize="21600,21600" o:gfxdata="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xYND51wAAAAkBAAAPAAAAAAAAAAEAIAAA&#10;ACIAAABkcnMvZG93bnJldi54bWxQSwECFAAUAAAACACHTuJAYhwT9UYCAABfBAAADgAAAAAAAAAB&#10;ACAAAAAmAQAAZHJzL2Uyb0RvYy54bWxQSwUGAAAAAAYABgBZAQAA3gUAAAAA&#10;">
                <v:fill on="f" focussize="0,0"/>
                <v:stroke on="f" weight="1pt" miterlimit="8" joinstyle="miter"/>
                <v:imagedata o:title=""/>
                <o:lock v:ext="edit" aspectratio="f"/>
                <v:textbox>
                  <w:txbxContent>
                    <w:p>
                      <w:pPr>
                        <w:jc w:val="center"/>
                        <w:rPr>
                          <w:rFonts w:hint="eastAsia" w:ascii="黑体" w:hAnsi="黑体" w:eastAsia="黑体" w:cs="黑体"/>
                          <w:b/>
                          <w:bCs/>
                          <w:color w:val="000000" w:themeColor="text1"/>
                          <w:sz w:val="24"/>
                          <w:szCs w:val="32"/>
                          <w:lang w:val="en-US" w:eastAsia="zh-CN"/>
                          <w14:textFill>
                            <w14:solidFill>
                              <w14:schemeClr w14:val="tx1"/>
                            </w14:solidFill>
                          </w14:textFill>
                        </w:rPr>
                      </w:pPr>
                      <w:r>
                        <w:rPr>
                          <w:rFonts w:hint="eastAsia" w:ascii="黑体" w:hAnsi="黑体" w:eastAsia="黑体" w:cs="黑体"/>
                          <w:b/>
                          <w:bCs/>
                          <w:color w:val="000000" w:themeColor="text1"/>
                          <w:sz w:val="24"/>
                          <w:szCs w:val="32"/>
                          <w:lang w:val="en-US" w:eastAsia="zh-CN"/>
                          <w14:textFill>
                            <w14:solidFill>
                              <w14:schemeClr w14:val="tx1"/>
                            </w14:solidFill>
                          </w14:textFill>
                        </w:rPr>
                        <w:t>2020年1-3月二手房网签量</w:t>
                      </w:r>
                    </w:p>
                  </w:txbxContent>
                </v:textbox>
              </v:rect>
            </w:pict>
          </mc:Fallback>
        </mc:AlternateContent>
      </w:r>
      <w:r>
        <w:rPr>
          <w:rFonts w:hint="eastAsia" w:ascii="仿宋" w:hAnsi="仿宋" w:eastAsia="仿宋" w:cs="仿宋"/>
          <w:sz w:val="32"/>
          <w:szCs w:val="32"/>
          <w:lang w:val="en-US" w:eastAsia="zh-CN"/>
        </w:rPr>
        <w:drawing>
          <wp:anchor distT="0" distB="0" distL="114300" distR="114300" simplePos="0" relativeHeight="251660288" behindDoc="1" locked="0" layoutInCell="1" allowOverlap="1">
            <wp:simplePos x="0" y="0"/>
            <wp:positionH relativeFrom="column">
              <wp:posOffset>810260</wp:posOffset>
            </wp:positionH>
            <wp:positionV relativeFrom="paragraph">
              <wp:posOffset>97790</wp:posOffset>
            </wp:positionV>
            <wp:extent cx="4033520" cy="3031490"/>
            <wp:effectExtent l="4445" t="5080" r="19685" b="11430"/>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（数据来源：深房中协标准指数）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通过数据层面分析，随着行业的全面复工复产，深圳楼市需求量在短时间内便出现了较为集中的恢复，虽二手房成交量不及去年同期水平，但却可以清晰的看到深圳楼市的自我恢复能力较强，与此前深房中协所预测的深圳楼市韧性较足的结论是吻合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当然目前疫情仍未完全消除，同时，境外疫情的爆发也导致全球经济不可避免的出现衰退，在我国融入全球化程度越来越深的当下，我国出口导向性的经济发展方式也势必会因全球经济衰退而受到传导影响，未来存在经济下行压力增大的可能，经济发展的不确定性风险在累加，因此，受经济基本面不稳定的影响，短期3月份楼市成交量的快速恢复，是否会一直持续下去呢，还只是“东边日出西边雨,道是无晴却有晴”反复震荡则仍有待时日观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4D1116E"/>
    <w:rsid w:val="051C3D45"/>
    <w:rsid w:val="067275BA"/>
    <w:rsid w:val="06D93F5D"/>
    <w:rsid w:val="078E334A"/>
    <w:rsid w:val="08F92EE2"/>
    <w:rsid w:val="0C2566DD"/>
    <w:rsid w:val="0F171518"/>
    <w:rsid w:val="16B45F3A"/>
    <w:rsid w:val="1D4825E0"/>
    <w:rsid w:val="221966B1"/>
    <w:rsid w:val="24576348"/>
    <w:rsid w:val="245B7211"/>
    <w:rsid w:val="26AA77D8"/>
    <w:rsid w:val="270465E1"/>
    <w:rsid w:val="297B5AE5"/>
    <w:rsid w:val="29D822C0"/>
    <w:rsid w:val="302154B1"/>
    <w:rsid w:val="32244773"/>
    <w:rsid w:val="38076C4A"/>
    <w:rsid w:val="38572701"/>
    <w:rsid w:val="3B1F0564"/>
    <w:rsid w:val="3B3132C7"/>
    <w:rsid w:val="3D3709F1"/>
    <w:rsid w:val="3F096C09"/>
    <w:rsid w:val="41911686"/>
    <w:rsid w:val="457A4928"/>
    <w:rsid w:val="45D15413"/>
    <w:rsid w:val="47836CA4"/>
    <w:rsid w:val="55176F81"/>
    <w:rsid w:val="57685049"/>
    <w:rsid w:val="628423BD"/>
    <w:rsid w:val="66C5215B"/>
    <w:rsid w:val="687C7968"/>
    <w:rsid w:val="763874FA"/>
    <w:rsid w:val="77A1518A"/>
    <w:rsid w:val="7A055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spc="0" baseline="0">
                <a:solidFill>
                  <a:schemeClr val="tx1">
                    <a:lumMod val="65000"/>
                    <a:lumOff val="35000"/>
                  </a:schemeClr>
                </a:solidFill>
                <a:latin typeface="+mn-lt"/>
                <a:ea typeface="+mn-ea"/>
                <a:cs typeface="+mn-cs"/>
              </a:defRPr>
            </a:pPr>
            <a:r>
              <a:rPr sz="1200" b="1">
                <a:latin typeface="黑体" panose="02010609060101010101" charset="-122"/>
                <a:ea typeface="黑体" panose="02010609060101010101" charset="-122"/>
                <a:cs typeface="黑体" panose="02010609060101010101" charset="-122"/>
              </a:rPr>
              <a:t>近四年</a:t>
            </a:r>
            <a:r>
              <a:rPr lang="en-US" altLang="zh-CN" sz="1200" b="1">
                <a:latin typeface="黑体" panose="02010609060101010101" charset="-122"/>
                <a:ea typeface="黑体" panose="02010609060101010101" charset="-122"/>
                <a:cs typeface="黑体" panose="02010609060101010101" charset="-122"/>
              </a:rPr>
              <a:t>3</a:t>
            </a:r>
            <a:r>
              <a:rPr altLang="en-US" sz="1200" b="1">
                <a:latin typeface="黑体" panose="02010609060101010101" charset="-122"/>
                <a:ea typeface="黑体" panose="02010609060101010101" charset="-122"/>
                <a:cs typeface="黑体" panose="02010609060101010101" charset="-122"/>
              </a:rPr>
              <a:t>月份同期一手住宅成交量（备案</a:t>
            </a:r>
            <a:r>
              <a:rPr altLang="en-US" sz="1200">
                <a:latin typeface="黑体" panose="02010609060101010101" charset="-122"/>
                <a:ea typeface="黑体" panose="02010609060101010101" charset="-122"/>
                <a:cs typeface="黑体" panose="02010609060101010101" charset="-122"/>
              </a:rPr>
              <a:t>）</a:t>
            </a:r>
            <a:endParaRPr altLang="en-US" sz="1200">
              <a:latin typeface="黑体" panose="02010609060101010101" charset="-122"/>
              <a:ea typeface="黑体" panose="02010609060101010101" charset="-122"/>
              <a:cs typeface="黑体" panose="02010609060101010101" charset="-122"/>
            </a:endParaRPr>
          </a:p>
        </c:rich>
      </c:tx>
      <c:layout>
        <c:manualLayout>
          <c:xMode val="edge"/>
          <c:yMode val="edge"/>
          <c:x val="0.180495032246819"/>
          <c:y val="0.023270244521655"/>
        </c:manualLayout>
      </c:layout>
      <c:overlay val="0"/>
      <c:spPr>
        <a:noFill/>
        <a:ln>
          <a:noFill/>
        </a:ln>
        <a:effectLst/>
      </c:spPr>
    </c:title>
    <c:autoTitleDeleted val="0"/>
    <c:plotArea>
      <c:layout>
        <c:manualLayout>
          <c:layoutTarget val="inner"/>
          <c:xMode val="edge"/>
          <c:yMode val="edge"/>
          <c:x val="0.0986671054796775"/>
          <c:y val="0.156988386063276"/>
          <c:w val="0.860194174757282"/>
          <c:h val="0.760192230676812"/>
        </c:manualLayout>
      </c:layout>
      <c:barChart>
        <c:barDir val="col"/>
        <c:grouping val="stacked"/>
        <c:varyColors val="0"/>
        <c:ser>
          <c:idx val="0"/>
          <c:order val="0"/>
          <c:tx>
            <c:strRef>
              <c:f>Sheet1!$B$1</c:f>
              <c:strCache>
                <c:ptCount val="1"/>
                <c:pt idx="0">
                  <c:v>一手住宅</c:v>
                </c:pt>
              </c:strCache>
            </c:strRef>
          </c:tx>
          <c:spPr>
            <a:solidFill>
              <a:schemeClr val="accent1"/>
            </a:solidFill>
            <a:ln>
              <a:noFill/>
            </a:ln>
            <a:effectLst/>
          </c:spPr>
          <c:invertIfNegative val="0"/>
          <c:dPt>
            <c:idx val="3"/>
            <c:invertIfNegative val="0"/>
            <c:bubble3D val="0"/>
            <c:spPr>
              <a:solidFill>
                <a:schemeClr val="accent4">
                  <a:lumMod val="60000"/>
                  <a:lumOff val="40000"/>
                </a:schemeClr>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2017.3</c:v>
                </c:pt>
                <c:pt idx="1">
                  <c:v>2018.3</c:v>
                </c:pt>
                <c:pt idx="2">
                  <c:v>2019.3</c:v>
                </c:pt>
                <c:pt idx="3">
                  <c:v>2020.3</c:v>
                </c:pt>
              </c:numCache>
            </c:numRef>
          </c:cat>
          <c:val>
            <c:numRef>
              <c:f>Sheet1!$B$2:$B$5</c:f>
              <c:numCache>
                <c:formatCode>General</c:formatCode>
                <c:ptCount val="4"/>
                <c:pt idx="0">
                  <c:v>803</c:v>
                </c:pt>
                <c:pt idx="1">
                  <c:v>2029</c:v>
                </c:pt>
                <c:pt idx="2">
                  <c:v>3088</c:v>
                </c:pt>
                <c:pt idx="3">
                  <c:v>3152</c:v>
                </c:pt>
              </c:numCache>
            </c:numRef>
          </c:val>
        </c:ser>
        <c:dLbls>
          <c:showLegendKey val="0"/>
          <c:showVal val="0"/>
          <c:showCatName val="0"/>
          <c:showSerName val="0"/>
          <c:showPercent val="0"/>
          <c:showBubbleSize val="0"/>
        </c:dLbls>
        <c:gapWidth val="150"/>
        <c:overlap val="100"/>
        <c:axId val="727048374"/>
        <c:axId val="830474048"/>
      </c:barChart>
      <c:catAx>
        <c:axId val="72704837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crossAx val="830474048"/>
        <c:crosses val="autoZero"/>
        <c:auto val="1"/>
        <c:lblAlgn val="ctr"/>
        <c:lblOffset val="100"/>
        <c:noMultiLvlLbl val="0"/>
      </c:catAx>
      <c:valAx>
        <c:axId val="830474048"/>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704837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0982367758186"/>
          <c:y val="0.111178614823815"/>
          <c:w val="0.885768261964735"/>
          <c:h val="0.761077359254759"/>
        </c:manualLayout>
      </c:layout>
      <c:barChart>
        <c:barDir val="col"/>
        <c:grouping val="stacked"/>
        <c:varyColors val="0"/>
        <c:ser>
          <c:idx val="0"/>
          <c:order val="0"/>
          <c:tx>
            <c:strRef>
              <c:f>Sheet1!$B$1</c:f>
              <c:strCache>
                <c:ptCount val="1"/>
                <c:pt idx="0">
                  <c:v>系列 1</c:v>
                </c:pt>
              </c:strCache>
            </c:strRef>
          </c:tx>
          <c:spPr>
            <a:solidFill>
              <a:schemeClr val="accent1"/>
            </a:solidFill>
            <a:ln>
              <a:noFill/>
            </a:ln>
            <a:effectLst/>
          </c:spPr>
          <c:invertIfNegative val="0"/>
          <c:dPt>
            <c:idx val="2"/>
            <c:invertIfNegative val="0"/>
            <c:bubble3D val="0"/>
            <c:spPr>
              <a:solidFill>
                <a:schemeClr val="accent4">
                  <a:lumMod val="60000"/>
                  <a:lumOff val="40000"/>
                </a:schemeClr>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2020.1</c:v>
                </c:pt>
                <c:pt idx="1">
                  <c:v>2020.2</c:v>
                </c:pt>
                <c:pt idx="2">
                  <c:v>2020.3</c:v>
                </c:pt>
                <c:pt idx="3">
                  <c:v>2019.3</c:v>
                </c:pt>
              </c:numCache>
            </c:numRef>
          </c:cat>
          <c:val>
            <c:numRef>
              <c:f>Sheet1!$B$2:$B$5</c:f>
              <c:numCache>
                <c:formatCode>General</c:formatCode>
                <c:ptCount val="4"/>
                <c:pt idx="0">
                  <c:v>7473</c:v>
                </c:pt>
                <c:pt idx="1">
                  <c:v>1600</c:v>
                </c:pt>
                <c:pt idx="2">
                  <c:v>5527</c:v>
                </c:pt>
                <c:pt idx="3">
                  <c:v>7303</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numRef>
              <c:f>Sheet1!$A$2:$A$5</c:f>
              <c:numCache>
                <c:formatCode>General</c:formatCode>
                <c:ptCount val="4"/>
                <c:pt idx="0">
                  <c:v>2020.1</c:v>
                </c:pt>
                <c:pt idx="1">
                  <c:v>2020.2</c:v>
                </c:pt>
                <c:pt idx="2">
                  <c:v>2020.3</c:v>
                </c:pt>
                <c:pt idx="3">
                  <c:v>2019.3</c:v>
                </c:pt>
              </c:numCache>
            </c:num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Sheet1!$A$2:$A$5</c:f>
              <c:numCache>
                <c:formatCode>General</c:formatCode>
                <c:ptCount val="4"/>
                <c:pt idx="0">
                  <c:v>2020.1</c:v>
                </c:pt>
                <c:pt idx="1">
                  <c:v>2020.2</c:v>
                </c:pt>
                <c:pt idx="2">
                  <c:v>2020.3</c:v>
                </c:pt>
                <c:pt idx="3">
                  <c:v>2019.3</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150"/>
        <c:overlap val="100"/>
        <c:axId val="608606426"/>
        <c:axId val="237426130"/>
      </c:barChart>
      <c:catAx>
        <c:axId val="60860642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crossAx val="237426130"/>
        <c:crosses val="autoZero"/>
        <c:auto val="1"/>
        <c:lblAlgn val="ctr"/>
        <c:lblOffset val="100"/>
        <c:noMultiLvlLbl val="0"/>
      </c:catAx>
      <c:valAx>
        <c:axId val="237426130"/>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860642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2020-01-31T05:11:00Z</dcterms:created>
  <dc:creator>Administrator</dc:creator>
  <cp:lastModifiedBy>深房中协—华洪</cp:lastModifiedBy>
  <dcterms:modified xsi:type="dcterms:W3CDTF">2020-04-08T03:59:08Z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