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了解全行业，一本“行业百科全书”就够了</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6"/>
          <w:szCs w:val="36"/>
          <w:lang w:eastAsia="zh-CN"/>
        </w:rPr>
      </w:pPr>
      <w:r>
        <w:rPr>
          <w:rFonts w:hint="eastAsia" w:ascii="黑体" w:hAnsi="黑体" w:eastAsia="黑体" w:cs="黑体"/>
          <w:b/>
          <w:bCs/>
          <w:sz w:val="32"/>
          <w:szCs w:val="32"/>
          <w:lang w:val="en-US" w:eastAsia="zh-CN"/>
        </w:rPr>
        <w:t>——深圳市房地产中介行业（2019年）白皮书首发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如果你是经纪人亦或是购房者和业主，你想知道深圳哪个地方的房子最好卖，又想知道深圳哪个地方的中介公司最扎堆以及哪个中介公司成交效率高的话。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如果你是业内的管理者，你既想知道全行业经纪人员的开单情况以及行业签单的排名状况，又想了解全行业经纪人员的综合素养发展情况的话。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如果你是中介企业老板，你还想多了解下宏观经济形势，行业运营与竞争状况以及中小企业转型发展策略指引的话。有这么一本堪称“行业百科全书”的</w:t>
      </w:r>
      <w:r>
        <w:rPr>
          <w:rFonts w:hint="eastAsia" w:ascii="仿宋" w:hAnsi="仿宋" w:eastAsia="仿宋"/>
          <w:sz w:val="32"/>
          <w:szCs w:val="32"/>
        </w:rPr>
        <w:t>《深圳市房地产中介行业白皮书》</w:t>
      </w:r>
      <w:r>
        <w:rPr>
          <w:rFonts w:hint="eastAsia" w:ascii="仿宋" w:hAnsi="仿宋" w:eastAsia="仿宋"/>
          <w:sz w:val="32"/>
          <w:szCs w:val="32"/>
          <w:lang w:eastAsia="zh-CN"/>
        </w:rPr>
        <w:t>（以下简称“白皮书”）可以一次性满足你上述的所有愿望！如有兴趣的各位朋友们，可点击下方链接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sz w:val="32"/>
          <w:szCs w:val="32"/>
          <w:lang w:eastAsia="zh-CN"/>
        </w:rPr>
      </w:pPr>
      <w:r>
        <w:rPr>
          <w:rFonts w:hint="eastAsia" w:ascii="仿宋" w:hAnsi="仿宋" w:eastAsia="仿宋"/>
          <w:sz w:val="32"/>
          <w:szCs w:val="32"/>
          <w:lang w:eastAsia="zh-CN"/>
        </w:rPr>
        <w:t>http://www.srba.net.cn/srba/channel/article/article_detail.aspx?id=5291，免费领取</w:t>
      </w:r>
      <w:r>
        <w:rPr>
          <w:rFonts w:hint="eastAsia" w:ascii="仿宋" w:hAnsi="仿宋" w:eastAsia="仿宋"/>
          <w:sz w:val="32"/>
          <w:szCs w:val="32"/>
        </w:rPr>
        <w:t>《深圳市房地产中介行业白皮书》</w:t>
      </w:r>
      <w:r>
        <w:rPr>
          <w:rFonts w:hint="eastAsia" w:ascii="仿宋" w:hAnsi="仿宋" w:eastAsia="仿宋"/>
          <w:sz w:val="32"/>
          <w:szCs w:val="32"/>
          <w:lang w:eastAsia="zh-CN"/>
        </w:rPr>
        <w:t>（</w:t>
      </w:r>
      <w:r>
        <w:rPr>
          <w:rFonts w:hint="eastAsia" w:ascii="仿宋" w:hAnsi="仿宋" w:eastAsia="仿宋"/>
          <w:sz w:val="32"/>
          <w:szCs w:val="32"/>
          <w:lang w:val="en-US" w:eastAsia="zh-CN"/>
        </w:rPr>
        <w:t>2019年</w:t>
      </w:r>
      <w:r>
        <w:rPr>
          <w:rFonts w:hint="eastAsia" w:ascii="仿宋" w:hAnsi="仿宋" w:eastAsia="仿宋"/>
          <w:sz w:val="32"/>
          <w:szCs w:val="32"/>
          <w:lang w:eastAsia="zh-CN"/>
        </w:rPr>
        <w:t>）完整电子版查阅。</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sz w:val="32"/>
          <w:szCs w:val="32"/>
          <w:lang w:eastAsia="zh-CN"/>
        </w:rPr>
      </w:pPr>
      <w:r>
        <w:drawing>
          <wp:anchor distT="0" distB="0" distL="114300" distR="114300" simplePos="0" relativeHeight="251716608" behindDoc="1" locked="0" layoutInCell="1" allowOverlap="1">
            <wp:simplePos x="0" y="0"/>
            <wp:positionH relativeFrom="column">
              <wp:posOffset>1819275</wp:posOffset>
            </wp:positionH>
            <wp:positionV relativeFrom="paragraph">
              <wp:posOffset>27940</wp:posOffset>
            </wp:positionV>
            <wp:extent cx="2047875" cy="2447925"/>
            <wp:effectExtent l="0" t="0" r="9525" b="9525"/>
            <wp:wrapTight wrapText="bothSides">
              <wp:wrapPolygon>
                <wp:start x="0" y="0"/>
                <wp:lineTo x="0" y="21516"/>
                <wp:lineTo x="21500" y="21516"/>
                <wp:lineTo x="21500" y="0"/>
                <wp:lineTo x="0" y="0"/>
              </wp:wrapPolygon>
            </wp:wrapTight>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6"/>
                    <a:stretch>
                      <a:fillRect/>
                    </a:stretch>
                  </pic:blipFill>
                  <pic:spPr>
                    <a:xfrm>
                      <a:off x="0" y="0"/>
                      <a:ext cx="2047875" cy="2447925"/>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今年已经是</w:t>
      </w:r>
      <w:r>
        <w:rPr>
          <w:rFonts w:hint="eastAsia" w:ascii="仿宋" w:hAnsi="仿宋" w:eastAsia="仿宋"/>
          <w:sz w:val="32"/>
          <w:szCs w:val="32"/>
          <w:lang w:eastAsia="zh-CN"/>
        </w:rPr>
        <w:t>的白皮书正式发布的第四个年头！本期白皮书</w:t>
      </w:r>
      <w:r>
        <w:rPr>
          <w:rFonts w:hint="eastAsia" w:ascii="仿宋" w:hAnsi="仿宋" w:eastAsia="仿宋"/>
          <w:sz w:val="32"/>
          <w:szCs w:val="32"/>
        </w:rPr>
        <w:t>分别</w:t>
      </w:r>
      <w:r>
        <w:rPr>
          <w:rFonts w:hint="eastAsia" w:ascii="仿宋" w:hAnsi="仿宋" w:eastAsia="仿宋"/>
          <w:sz w:val="32"/>
          <w:szCs w:val="32"/>
          <w:lang w:eastAsia="zh-CN"/>
        </w:rPr>
        <w:t>从</w:t>
      </w:r>
      <w:r>
        <w:rPr>
          <w:rFonts w:hint="eastAsia" w:ascii="仿宋" w:hAnsi="仿宋" w:eastAsia="仿宋"/>
          <w:sz w:val="32"/>
          <w:szCs w:val="32"/>
          <w:em w:val="dot"/>
          <w:lang w:eastAsia="zh-CN"/>
        </w:rPr>
        <w:t>行业大数据</w:t>
      </w:r>
      <w:r>
        <w:rPr>
          <w:rFonts w:hint="eastAsia" w:ascii="仿宋" w:hAnsi="仿宋" w:eastAsia="仿宋"/>
          <w:sz w:val="32"/>
          <w:szCs w:val="32"/>
        </w:rPr>
        <w:t>、</w:t>
      </w:r>
      <w:r>
        <w:rPr>
          <w:rFonts w:hint="eastAsia" w:ascii="仿宋" w:hAnsi="仿宋" w:eastAsia="仿宋"/>
          <w:sz w:val="32"/>
          <w:szCs w:val="32"/>
          <w:em w:val="dot"/>
          <w:lang w:eastAsia="zh-CN"/>
        </w:rPr>
        <w:t>2019年楼市总结</w:t>
      </w:r>
      <w:r>
        <w:rPr>
          <w:rFonts w:hint="eastAsia" w:ascii="仿宋" w:hAnsi="仿宋" w:eastAsia="仿宋"/>
          <w:sz w:val="32"/>
          <w:szCs w:val="32"/>
        </w:rPr>
        <w:t>，</w:t>
      </w:r>
      <w:r>
        <w:rPr>
          <w:rFonts w:hint="eastAsia" w:ascii="仿宋" w:hAnsi="仿宋" w:eastAsia="仿宋"/>
          <w:sz w:val="32"/>
          <w:szCs w:val="32"/>
          <w:em w:val="dot"/>
          <w:lang w:eastAsia="zh-CN"/>
        </w:rPr>
        <w:t>以及行业理论研究</w:t>
      </w:r>
      <w:r>
        <w:rPr>
          <w:rFonts w:hint="eastAsia" w:ascii="仿宋" w:hAnsi="仿宋" w:eastAsia="仿宋"/>
          <w:sz w:val="32"/>
          <w:szCs w:val="32"/>
          <w:lang w:eastAsia="zh-CN"/>
        </w:rPr>
        <w:t>和</w:t>
      </w:r>
      <w:r>
        <w:rPr>
          <w:rFonts w:hint="eastAsia" w:ascii="仿宋" w:hAnsi="仿宋" w:eastAsia="仿宋"/>
          <w:sz w:val="32"/>
          <w:szCs w:val="32"/>
          <w:em w:val="dot"/>
          <w:lang w:val="en-US" w:eastAsia="zh-CN"/>
        </w:rPr>
        <w:t>2019年</w:t>
      </w:r>
      <w:r>
        <w:rPr>
          <w:rFonts w:hint="eastAsia" w:ascii="仿宋" w:hAnsi="仿宋" w:eastAsia="仿宋"/>
          <w:sz w:val="32"/>
          <w:szCs w:val="32"/>
          <w:em w:val="dot"/>
          <w:lang w:eastAsia="zh-CN"/>
        </w:rPr>
        <w:t>会员权益保障</w:t>
      </w:r>
      <w:r>
        <w:rPr>
          <w:rFonts w:hint="eastAsia" w:ascii="仿宋" w:hAnsi="仿宋" w:eastAsia="仿宋"/>
          <w:sz w:val="32"/>
          <w:szCs w:val="32"/>
          <w:lang w:eastAsia="zh-CN"/>
        </w:rPr>
        <w:t>四</w:t>
      </w:r>
      <w:r>
        <w:rPr>
          <w:rFonts w:hint="eastAsia" w:ascii="仿宋" w:hAnsi="仿宋" w:eastAsia="仿宋"/>
          <w:sz w:val="32"/>
          <w:szCs w:val="32"/>
        </w:rPr>
        <w:t>大板块内容为主脉络，阐述2019年深圳市房地产中介行业与市场的现状，以及行业正面临的转型调整与新业态模式的创新状况</w:t>
      </w:r>
      <w:r>
        <w:rPr>
          <w:rFonts w:hint="eastAsia" w:ascii="仿宋" w:hAnsi="仿宋" w:eastAsia="仿宋"/>
          <w:sz w:val="32"/>
          <w:szCs w:val="32"/>
          <w:lang w:eastAsia="zh-CN"/>
        </w:rPr>
        <w:t>，干货满满。</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sz w:val="32"/>
          <w:szCs w:val="32"/>
          <w:lang w:eastAsia="zh-CN"/>
        </w:rPr>
      </w:pPr>
      <w:r>
        <w:drawing>
          <wp:anchor distT="0" distB="0" distL="114300" distR="114300" simplePos="0" relativeHeight="251661312" behindDoc="1" locked="0" layoutInCell="1" allowOverlap="1">
            <wp:simplePos x="0" y="0"/>
            <wp:positionH relativeFrom="column">
              <wp:posOffset>-248920</wp:posOffset>
            </wp:positionH>
            <wp:positionV relativeFrom="paragraph">
              <wp:posOffset>166370</wp:posOffset>
            </wp:positionV>
            <wp:extent cx="1905000" cy="2890520"/>
            <wp:effectExtent l="0" t="0" r="0"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905000" cy="2890520"/>
                    </a:xfrm>
                    <a:prstGeom prst="rect">
                      <a:avLst/>
                    </a:prstGeom>
                    <a:noFill/>
                    <a:ln>
                      <a:noFill/>
                    </a:ln>
                  </pic:spPr>
                </pic:pic>
              </a:graphicData>
            </a:graphic>
          </wp:anchor>
        </w:drawing>
      </w:r>
      <w:bookmarkStart w:id="0" w:name="_GoBack"/>
      <w:r>
        <w:drawing>
          <wp:anchor distT="0" distB="0" distL="114300" distR="114300" simplePos="0" relativeHeight="251717632" behindDoc="1" locked="0" layoutInCell="1" allowOverlap="1">
            <wp:simplePos x="0" y="0"/>
            <wp:positionH relativeFrom="column">
              <wp:posOffset>3928745</wp:posOffset>
            </wp:positionH>
            <wp:positionV relativeFrom="paragraph">
              <wp:posOffset>176530</wp:posOffset>
            </wp:positionV>
            <wp:extent cx="2014855" cy="2876550"/>
            <wp:effectExtent l="0" t="0" r="4445"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2014855" cy="2876550"/>
                    </a:xfrm>
                    <a:prstGeom prst="rect">
                      <a:avLst/>
                    </a:prstGeom>
                    <a:noFill/>
                    <a:ln>
                      <a:noFill/>
                    </a:ln>
                  </pic:spPr>
                </pic:pic>
              </a:graphicData>
            </a:graphic>
          </wp:anchor>
        </w:drawing>
      </w:r>
      <w:bookmarkEnd w:id="0"/>
      <w:r>
        <w:drawing>
          <wp:anchor distT="0" distB="0" distL="114300" distR="114300" simplePos="0" relativeHeight="251717632" behindDoc="1" locked="0" layoutInCell="1" allowOverlap="1">
            <wp:simplePos x="0" y="0"/>
            <wp:positionH relativeFrom="column">
              <wp:posOffset>1828800</wp:posOffset>
            </wp:positionH>
            <wp:positionV relativeFrom="paragraph">
              <wp:posOffset>185420</wp:posOffset>
            </wp:positionV>
            <wp:extent cx="1975485" cy="2868295"/>
            <wp:effectExtent l="0" t="0" r="5715" b="82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1975485" cy="2868295"/>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drawing>
          <wp:anchor distT="0" distB="0" distL="114300" distR="114300" simplePos="0" relativeHeight="251678720" behindDoc="1" locked="0" layoutInCell="1" allowOverlap="1">
            <wp:simplePos x="0" y="0"/>
            <wp:positionH relativeFrom="column">
              <wp:posOffset>-4100830</wp:posOffset>
            </wp:positionH>
            <wp:positionV relativeFrom="paragraph">
              <wp:posOffset>815975</wp:posOffset>
            </wp:positionV>
            <wp:extent cx="1348105" cy="482600"/>
            <wp:effectExtent l="0" t="0" r="42545" b="31750"/>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0"/>
                    <a:stretch>
                      <a:fillRect/>
                    </a:stretch>
                  </pic:blipFill>
                  <pic:spPr>
                    <a:xfrm>
                      <a:off x="0" y="0"/>
                      <a:ext cx="1348105" cy="482600"/>
                    </a:xfrm>
                    <a:prstGeom prst="rect">
                      <a:avLst/>
                    </a:prstGeom>
                    <a:noFill/>
                    <a:ln>
                      <a:noFill/>
                    </a:ln>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auto"/>
    <w:pitch w:val="default"/>
    <w:sig w:usb0="E10002FF" w:usb1="4000FCFF" w:usb2="00000009" w:usb3="00000000" w:csb0="6000019F" w:csb1="DFD7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0ACF"/>
    <w:rsid w:val="009B58B3"/>
    <w:rsid w:val="051C3D45"/>
    <w:rsid w:val="05D46302"/>
    <w:rsid w:val="067275BA"/>
    <w:rsid w:val="06D93F5D"/>
    <w:rsid w:val="078E334A"/>
    <w:rsid w:val="08480171"/>
    <w:rsid w:val="08F92EE2"/>
    <w:rsid w:val="093F17EB"/>
    <w:rsid w:val="0C2566DD"/>
    <w:rsid w:val="0C822361"/>
    <w:rsid w:val="0CEC50D2"/>
    <w:rsid w:val="0D4B562D"/>
    <w:rsid w:val="0EF37370"/>
    <w:rsid w:val="0F171518"/>
    <w:rsid w:val="1103732F"/>
    <w:rsid w:val="11BC21BD"/>
    <w:rsid w:val="158425BE"/>
    <w:rsid w:val="178D7E29"/>
    <w:rsid w:val="1D4825E0"/>
    <w:rsid w:val="1FE6737E"/>
    <w:rsid w:val="24576348"/>
    <w:rsid w:val="26243A8C"/>
    <w:rsid w:val="266624F3"/>
    <w:rsid w:val="26AA77D8"/>
    <w:rsid w:val="29D822C0"/>
    <w:rsid w:val="2B8D1EAA"/>
    <w:rsid w:val="2DD67EA0"/>
    <w:rsid w:val="2EC60673"/>
    <w:rsid w:val="2FD76C57"/>
    <w:rsid w:val="302154B1"/>
    <w:rsid w:val="32244773"/>
    <w:rsid w:val="34BB72CD"/>
    <w:rsid w:val="38076C4A"/>
    <w:rsid w:val="38572701"/>
    <w:rsid w:val="3A9F53EA"/>
    <w:rsid w:val="3B1F0564"/>
    <w:rsid w:val="3B3132C7"/>
    <w:rsid w:val="3D3709F1"/>
    <w:rsid w:val="3F096C09"/>
    <w:rsid w:val="3FC95AF3"/>
    <w:rsid w:val="41911686"/>
    <w:rsid w:val="457A4928"/>
    <w:rsid w:val="45D15413"/>
    <w:rsid w:val="470651E8"/>
    <w:rsid w:val="503D6F57"/>
    <w:rsid w:val="536032DD"/>
    <w:rsid w:val="55176F81"/>
    <w:rsid w:val="56A54933"/>
    <w:rsid w:val="57685049"/>
    <w:rsid w:val="58E013F1"/>
    <w:rsid w:val="591C127B"/>
    <w:rsid w:val="62C90788"/>
    <w:rsid w:val="687C7968"/>
    <w:rsid w:val="6D037AC1"/>
    <w:rsid w:val="726018A8"/>
    <w:rsid w:val="739A5C57"/>
    <w:rsid w:val="748C5FAD"/>
    <w:rsid w:val="75A63D38"/>
    <w:rsid w:val="763874FA"/>
    <w:rsid w:val="77A1518A"/>
    <w:rsid w:val="7A05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note text"/>
    <w:basedOn w:val="1"/>
    <w:semiHidden/>
    <w:unhideWhenUsed/>
    <w:qFormat/>
    <w:uiPriority w:val="99"/>
    <w:pPr>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FollowedHyperlink"/>
    <w:basedOn w:val="6"/>
    <w:uiPriority w:val="0"/>
    <w:rPr>
      <w:color w:val="178EB9"/>
      <w:u w:val="none"/>
    </w:rPr>
  </w:style>
  <w:style w:type="character" w:styleId="9">
    <w:name w:val="Hyperlink"/>
    <w:basedOn w:val="6"/>
    <w:uiPriority w:val="0"/>
    <w:rPr>
      <w:color w:val="178EB9"/>
      <w:u w:val="none"/>
    </w:rPr>
  </w:style>
  <w:style w:type="character" w:styleId="10">
    <w:name w:val="HTML Code"/>
    <w:basedOn w:val="6"/>
    <w:uiPriority w:val="0"/>
    <w:rPr>
      <w:rFonts w:ascii="Consolas" w:hAnsi="Consolas" w:eastAsia="Consolas" w:cs="Consolas"/>
      <w:sz w:val="20"/>
    </w:rPr>
  </w:style>
  <w:style w:type="character" w:styleId="11">
    <w:name w:val="footnote reference"/>
    <w:basedOn w:val="6"/>
    <w:semiHidden/>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2020-04-02T09:09:21Z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