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bookmarkStart w:id="0" w:name="_GoBack"/>
      <w:r>
        <w:rPr>
          <w:rFonts w:hint="eastAsia" w:ascii="黑体" w:hAnsi="黑体" w:eastAsia="黑体" w:cs="黑体"/>
          <w:b/>
          <w:bCs/>
          <w:sz w:val="44"/>
          <w:szCs w:val="44"/>
          <w:lang w:val="en-US" w:eastAsia="zh-CN"/>
        </w:rPr>
        <w:t>协会来了之2月楼市小结</w:t>
      </w:r>
    </w:p>
    <w:bookmarkEnd w:id="0"/>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总体而言，2020年2月份，受疫情的肆虐，全国范围内普遍陷入了停工停产状态，关于抗击疫情的各类话题显然成为了全国人民最为热议和关注的话题，同时，传统2月份叠加春节假期影响，楼市较全年而言本来就处于一个低位运行状态，但今年情况特色，在疫情的严重影响下，社会各界以及业内普遍对2月份的楼市成绩持“悲观”态度。</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随着时间进入3月，2月份的楼市数据，是否像业界认为的那样，跌入历史的“冰谷”呢？事实上，虽2月份房地产行业残遭疫情摧残，但在各级政府以及金融机构的纾困帮扶之下，以及各路开发商“花式”促销下，2月深圳楼市成交量虽然环比1月份呈现“速冻”行情，但同比历史同期数据，却并非“惨不忍睹”。</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sz w:val="32"/>
          <w:szCs w:val="32"/>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3879850</wp:posOffset>
                </wp:positionH>
                <wp:positionV relativeFrom="paragraph">
                  <wp:posOffset>167005</wp:posOffset>
                </wp:positionV>
                <wp:extent cx="657860" cy="293370"/>
                <wp:effectExtent l="0" t="0" r="0" b="0"/>
                <wp:wrapNone/>
                <wp:docPr id="2" name="矩形 2"/>
                <wp:cNvGraphicFramePr/>
                <a:graphic xmlns:a="http://schemas.openxmlformats.org/drawingml/2006/main">
                  <a:graphicData uri="http://schemas.microsoft.com/office/word/2010/wordprocessingShape">
                    <wps:wsp>
                      <wps:cNvSpPr/>
                      <wps:spPr>
                        <a:xfrm>
                          <a:off x="5039995" y="5999480"/>
                          <a:ext cx="657860" cy="293370"/>
                        </a:xfrm>
                        <a:prstGeom prst="rect">
                          <a:avLst/>
                        </a:prstGeom>
                        <a:noFill/>
                        <a:ln w="12700" cmpd="sng">
                          <a:no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color w:val="000000" w:themeColor="text1"/>
                                <w:sz w:val="18"/>
                                <w:szCs w:val="21"/>
                                <w:lang w:eastAsia="zh-CN"/>
                                <w14:textFill>
                                  <w14:solidFill>
                                    <w14:schemeClr w14:val="tx1"/>
                                  </w14:solidFill>
                                </w14:textFill>
                              </w:rPr>
                            </w:pPr>
                            <w:r>
                              <w:rPr>
                                <w:rFonts w:hint="eastAsia"/>
                                <w:color w:val="000000" w:themeColor="text1"/>
                                <w:sz w:val="18"/>
                                <w:szCs w:val="21"/>
                                <w:lang w:eastAsia="zh-CN"/>
                                <w14:textFill>
                                  <w14:solidFill>
                                    <w14:schemeClr w14:val="tx1"/>
                                  </w14:solidFill>
                                </w14:textFill>
                              </w:rPr>
                              <w:t>单位：套</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5.5pt;margin-top:13.15pt;height:23.1pt;width:51.8pt;z-index:251659264;v-text-anchor:middle;mso-width-relative:page;mso-height-relative:page;" filled="f" stroked="f" coordsize="21600,21600" o:gfxdata="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33GS99gAAAAJAQAADwAA&#10;AAAAAAABACAAAAAiAAAAZHJzL2Rvd25yZXYueG1sUEsBAhQAFAAAAAgAh07iQEu1LIRPAgAAagQA&#10;AA4AAAAAAAAAAQAgAAAAJwEAAGRycy9lMm9Eb2MueG1sUEsFBgAAAAAGAAYAWQEAAOgFAAAAAA==&#10;">
                <v:fill on="f" focussize="0,0"/>
                <v:stroke on="f" weight="1pt" miterlimit="8" joinstyle="miter"/>
                <v:imagedata o:title=""/>
                <o:lock v:ext="edit" aspectratio="f"/>
                <v:textbox>
                  <w:txbxContent>
                    <w:p>
                      <w:pPr>
                        <w:jc w:val="center"/>
                        <w:rPr>
                          <w:rFonts w:hint="eastAsia" w:eastAsiaTheme="minorEastAsia"/>
                          <w:color w:val="000000" w:themeColor="text1"/>
                          <w:sz w:val="18"/>
                          <w:szCs w:val="21"/>
                          <w:lang w:eastAsia="zh-CN"/>
                          <w14:textFill>
                            <w14:solidFill>
                              <w14:schemeClr w14:val="tx1"/>
                            </w14:solidFill>
                          </w14:textFill>
                        </w:rPr>
                      </w:pPr>
                      <w:r>
                        <w:rPr>
                          <w:rFonts w:hint="eastAsia"/>
                          <w:color w:val="000000" w:themeColor="text1"/>
                          <w:sz w:val="18"/>
                          <w:szCs w:val="21"/>
                          <w:lang w:eastAsia="zh-CN"/>
                          <w14:textFill>
                            <w14:solidFill>
                              <w14:schemeClr w14:val="tx1"/>
                            </w14:solidFill>
                          </w14:textFill>
                        </w:rPr>
                        <w:t>单位：套</w:t>
                      </w:r>
                    </w:p>
                  </w:txbxContent>
                </v:textbox>
              </v:rect>
            </w:pict>
          </mc:Fallback>
        </mc:AlternateContent>
      </w:r>
      <w:r>
        <w:rPr>
          <w:rFonts w:hint="default" w:ascii="仿宋" w:hAnsi="仿宋" w:eastAsia="仿宋" w:cs="仿宋"/>
          <w:sz w:val="32"/>
          <w:szCs w:val="32"/>
          <w:lang w:val="en-US" w:eastAsia="zh-CN"/>
        </w:rPr>
        <w:drawing>
          <wp:anchor distT="0" distB="0" distL="114300" distR="114300" simplePos="0" relativeHeight="251658240" behindDoc="1" locked="0" layoutInCell="1" allowOverlap="1">
            <wp:simplePos x="0" y="0"/>
            <wp:positionH relativeFrom="column">
              <wp:posOffset>937260</wp:posOffset>
            </wp:positionH>
            <wp:positionV relativeFrom="paragraph">
              <wp:posOffset>18415</wp:posOffset>
            </wp:positionV>
            <wp:extent cx="3764280" cy="3038475"/>
            <wp:effectExtent l="0" t="0" r="7620" b="9525"/>
            <wp:wrapTight wrapText="bothSides">
              <wp:wrapPolygon>
                <wp:start x="0" y="0"/>
                <wp:lineTo x="0" y="21532"/>
                <wp:lineTo x="21534" y="21532"/>
                <wp:lineTo x="21534" y="0"/>
                <wp:lineTo x="0" y="0"/>
              </wp:wrapPolygon>
            </wp:wrapTight>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anchor>
        </w:drawing>
      </w: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firstLine="640" w:firstLineChars="200"/>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（数据来源：深圳市住建局、深房中协）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根据最新数据统计，2020年2月份全市一手住宅成交量830套，虽不及2019年同期1279套的数据，却也比2018年月2017年同期成交数据略好，二手住宅方面，1667套的成交数据，同比去年1997套数据，也仅仅下跌16.5%。从这份成绩单，咱们可以很清晰的看到，此次疫情给经济造成了无法挽回的损失，不过作为一线的深圳楼市，特别是作为行业晴雨表的一手住宅成交量甚至超过2017年和2018年同期水平，甚至楼市远比我们想象的要坚强，要有韧性！</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2010600030101010101"/>
    <w:charset w:val="86"/>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1C3D45"/>
    <w:rsid w:val="067275BA"/>
    <w:rsid w:val="06D93F5D"/>
    <w:rsid w:val="078E334A"/>
    <w:rsid w:val="08F92EE2"/>
    <w:rsid w:val="0C2566DD"/>
    <w:rsid w:val="0F171518"/>
    <w:rsid w:val="1D4825E0"/>
    <w:rsid w:val="221966B1"/>
    <w:rsid w:val="24576348"/>
    <w:rsid w:val="26AA77D8"/>
    <w:rsid w:val="29D822C0"/>
    <w:rsid w:val="302154B1"/>
    <w:rsid w:val="32244773"/>
    <w:rsid w:val="38076C4A"/>
    <w:rsid w:val="38572701"/>
    <w:rsid w:val="3B1F0564"/>
    <w:rsid w:val="3B3132C7"/>
    <w:rsid w:val="3D3709F1"/>
    <w:rsid w:val="3F096C09"/>
    <w:rsid w:val="41911686"/>
    <w:rsid w:val="457A4928"/>
    <w:rsid w:val="45D15413"/>
    <w:rsid w:val="55176F81"/>
    <w:rsid w:val="57685049"/>
    <w:rsid w:val="687C7968"/>
    <w:rsid w:val="763874FA"/>
    <w:rsid w:val="77A1518A"/>
    <w:rsid w:val="7A055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chart" Target="charts/chart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0" i="0" u="none" strike="noStrike" kern="1200" spc="0" baseline="0">
                <a:solidFill>
                  <a:schemeClr val="tx1">
                    <a:lumMod val="65000"/>
                    <a:lumOff val="35000"/>
                  </a:schemeClr>
                </a:solidFill>
                <a:latin typeface="+mn-lt"/>
                <a:ea typeface="+mn-ea"/>
                <a:cs typeface="+mn-cs"/>
              </a:defRPr>
            </a:pPr>
            <a:r>
              <a:rPr sz="1200" b="1">
                <a:latin typeface="黑体" panose="02010609060101010101" charset="-122"/>
                <a:ea typeface="黑体" panose="02010609060101010101" charset="-122"/>
                <a:cs typeface="黑体" panose="02010609060101010101" charset="-122"/>
              </a:rPr>
              <a:t>近四年</a:t>
            </a:r>
            <a:r>
              <a:rPr lang="en-US" altLang="zh-CN" sz="1200" b="1">
                <a:latin typeface="黑体" panose="02010609060101010101" charset="-122"/>
                <a:ea typeface="黑体" panose="02010609060101010101" charset="-122"/>
                <a:cs typeface="黑体" panose="02010609060101010101" charset="-122"/>
              </a:rPr>
              <a:t>2</a:t>
            </a:r>
            <a:r>
              <a:rPr altLang="en-US" sz="1200" b="1">
                <a:latin typeface="黑体" panose="02010609060101010101" charset="-122"/>
                <a:ea typeface="黑体" panose="02010609060101010101" charset="-122"/>
                <a:cs typeface="黑体" panose="02010609060101010101" charset="-122"/>
              </a:rPr>
              <a:t>月份同期商品住宅成交</a:t>
            </a:r>
            <a:r>
              <a:rPr altLang="en-US" sz="1200"/>
              <a:t>量</a:t>
            </a:r>
            <a:endParaRPr altLang="en-US" sz="1200"/>
          </a:p>
        </c:rich>
      </c:tx>
      <c:layout>
        <c:manualLayout>
          <c:xMode val="edge"/>
          <c:yMode val="edge"/>
          <c:x val="0.180495032246819"/>
          <c:y val="0.0231390526086007"/>
        </c:manualLayout>
      </c:layout>
      <c:overlay val="0"/>
      <c:spPr>
        <a:noFill/>
        <a:ln>
          <a:noFill/>
        </a:ln>
        <a:effectLst/>
      </c:spPr>
    </c:title>
    <c:autoTitleDeleted val="0"/>
    <c:plotArea>
      <c:layout/>
      <c:barChart>
        <c:barDir val="col"/>
        <c:grouping val="stacked"/>
        <c:varyColors val="0"/>
        <c:ser>
          <c:idx val="0"/>
          <c:order val="0"/>
          <c:tx>
            <c:strRef>
              <c:f>Sheet1!$B$1</c:f>
              <c:strCache>
                <c:ptCount val="1"/>
                <c:pt idx="0">
                  <c:v>一手住宅</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2017年同期</c:v>
                </c:pt>
                <c:pt idx="1">
                  <c:v>2018年同期</c:v>
                </c:pt>
                <c:pt idx="2">
                  <c:v>2019年同期</c:v>
                </c:pt>
                <c:pt idx="3">
                  <c:v>2020年同期</c:v>
                </c:pt>
              </c:strCache>
            </c:strRef>
          </c:cat>
          <c:val>
            <c:numRef>
              <c:f>Sheet1!$B$2:$B$5</c:f>
              <c:numCache>
                <c:formatCode>General</c:formatCode>
                <c:ptCount val="4"/>
                <c:pt idx="0">
                  <c:v>804</c:v>
                </c:pt>
                <c:pt idx="1">
                  <c:v>794</c:v>
                </c:pt>
                <c:pt idx="2">
                  <c:v>1279</c:v>
                </c:pt>
                <c:pt idx="3">
                  <c:v>830</c:v>
                </c:pt>
              </c:numCache>
            </c:numRef>
          </c:val>
        </c:ser>
        <c:ser>
          <c:idx val="1"/>
          <c:order val="1"/>
          <c:tx>
            <c:strRef>
              <c:f>Sheet1!$C$1</c:f>
              <c:strCache>
                <c:ptCount val="1"/>
                <c:pt idx="0">
                  <c:v>二手住宅</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2017年同期</c:v>
                </c:pt>
                <c:pt idx="1">
                  <c:v>2018年同期</c:v>
                </c:pt>
                <c:pt idx="2">
                  <c:v>2019年同期</c:v>
                </c:pt>
                <c:pt idx="3">
                  <c:v>2020年同期</c:v>
                </c:pt>
              </c:strCache>
            </c:strRef>
          </c:cat>
          <c:val>
            <c:numRef>
              <c:f>Sheet1!$C$2:$C$5</c:f>
              <c:numCache>
                <c:formatCode>General</c:formatCode>
                <c:ptCount val="4"/>
                <c:pt idx="0">
                  <c:v>2240</c:v>
                </c:pt>
                <c:pt idx="1">
                  <c:v>3133</c:v>
                </c:pt>
                <c:pt idx="2">
                  <c:v>1997</c:v>
                </c:pt>
                <c:pt idx="3">
                  <c:v>1667</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Sheet1!$A$2:$A$5</c:f>
              <c:strCache>
                <c:ptCount val="4"/>
                <c:pt idx="0">
                  <c:v>2017年同期</c:v>
                </c:pt>
                <c:pt idx="1">
                  <c:v>2018年同期</c:v>
                </c:pt>
                <c:pt idx="2">
                  <c:v>2019年同期</c:v>
                </c:pt>
                <c:pt idx="3">
                  <c:v>2020年同期</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150"/>
        <c:overlap val="100"/>
        <c:axId val="727048374"/>
        <c:axId val="830474048"/>
      </c:barChart>
      <c:catAx>
        <c:axId val="72704837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0474048"/>
        <c:crosses val="autoZero"/>
        <c:auto val="1"/>
        <c:lblAlgn val="ctr"/>
        <c:lblOffset val="100"/>
        <c:noMultiLvlLbl val="0"/>
      </c:catAx>
      <c:valAx>
        <c:axId val="830474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7048374"/>
        <c:crosses val="autoZero"/>
        <c:crossBetween val="between"/>
      </c:valAx>
      <c:spPr>
        <a:noFill/>
        <a:ln>
          <a:noFill/>
        </a:ln>
        <a:effectLst/>
      </c:spPr>
    </c:plotArea>
    <c:legend>
      <c:legendPos val="b"/>
      <c:legendEntry>
        <c:idx val="2"/>
        <c:delete val="1"/>
      </c:legendEntry>
      <c:layout>
        <c:manualLayout>
          <c:xMode val="edge"/>
          <c:yMode val="edge"/>
          <c:x val="0.3340625"/>
          <c:y val="0.92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no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Office_11.1.0.9501_F1E327BC-269C-435d-A152-05C5408002CA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2020-01-31T05:11:00Z</dcterms:created>
  <dc:creator>Administrator</dc:creator>
  <cp:lastModifiedBy>深房中协—华洪</cp:lastModifiedBy>
  <dcterms:modified xsi:type="dcterms:W3CDTF">2020-03-02T03:13:02Z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2052-11.1.0.9501</vt:lpwstr>
  </property>
</Properties>
</file>