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两会重申“房住不炒”原则，深圳5月二手房网签量迎调整型下滑</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2"/>
          <w:szCs w:val="22"/>
          <w:lang w:val="en-US" w:eastAsia="zh-CN"/>
        </w:rPr>
      </w:pPr>
      <w:r>
        <w:rPr>
          <w:rFonts w:hint="eastAsia" w:ascii="黑体" w:hAnsi="黑体" w:eastAsia="黑体" w:cs="黑体"/>
          <w:b/>
          <w:bCs/>
          <w:sz w:val="32"/>
          <w:szCs w:val="32"/>
          <w:lang w:val="en-US" w:eastAsia="zh-CN"/>
        </w:rPr>
        <w:t>——5月楼市小结与预测</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相较往年，今年的两会（第十三届全国人民代表大会第三次会议</w:t>
      </w:r>
      <w:r>
        <w:rPr>
          <w:rFonts w:hint="eastAsia" w:ascii="仿宋" w:hAnsi="仿宋" w:eastAsia="仿宋" w:cs="仿宋"/>
          <w:sz w:val="32"/>
          <w:szCs w:val="32"/>
          <w:lang w:val="en-US" w:eastAsia="zh-CN"/>
        </w:rPr>
        <w:t>与全国政协十三届三次会议</w:t>
      </w:r>
      <w:r>
        <w:rPr>
          <w:rFonts w:hint="eastAsia" w:ascii="仿宋" w:hAnsi="仿宋" w:eastAsia="仿宋" w:cs="仿宋"/>
          <w:sz w:val="32"/>
          <w:szCs w:val="32"/>
          <w:lang w:val="en-US" w:eastAsia="zh-CN"/>
        </w:rPr>
        <w:t>）比较特殊，一是2020年，是我国全面建成小康社会的决胜之年和“十三五”规划收官之年，同时，今年年初恰逢新冠疫情的肆虐，经济重建百废待兴，全社会对于今年的两会充满了期待。就房地产而言，今年两会的政府工作报告中，李克强总理时隔一年再次提起</w:t>
      </w:r>
      <w:r>
        <w:rPr>
          <w:rFonts w:hint="eastAsia" w:ascii="仿宋" w:hAnsi="仿宋" w:eastAsia="仿宋" w:cs="仿宋"/>
          <w:b/>
          <w:bCs/>
          <w:sz w:val="32"/>
          <w:szCs w:val="32"/>
          <w:u w:val="single"/>
          <w:lang w:val="en-US" w:eastAsia="zh-CN"/>
        </w:rPr>
        <w:t>“炒房不住”的话题</w:t>
      </w:r>
      <w:r>
        <w:rPr>
          <w:rFonts w:hint="eastAsia" w:ascii="仿宋" w:hAnsi="仿宋" w:eastAsia="仿宋" w:cs="仿宋"/>
          <w:sz w:val="32"/>
          <w:szCs w:val="32"/>
          <w:lang w:val="en-US" w:eastAsia="zh-CN"/>
        </w:rPr>
        <w:t>，他表示“</w:t>
      </w:r>
      <w:r>
        <w:rPr>
          <w:rFonts w:hint="eastAsia" w:ascii="仿宋" w:hAnsi="仿宋" w:eastAsia="仿宋" w:cs="仿宋"/>
          <w:b/>
          <w:bCs/>
          <w:sz w:val="32"/>
          <w:szCs w:val="32"/>
          <w:u w:val="single"/>
          <w:lang w:val="en-US" w:eastAsia="zh-CN"/>
        </w:rPr>
        <w:t>坚持房子是用来住的、不是用来炒的定位，因城施策，促进房地产市场平稳健康发展。完善便民设施，让城市更宜业宜居。</w:t>
      </w:r>
      <w:r>
        <w:rPr>
          <w:rFonts w:hint="eastAsia" w:ascii="仿宋" w:hAnsi="仿宋" w:eastAsia="仿宋" w:cs="仿宋"/>
          <w:sz w:val="32"/>
          <w:szCs w:val="32"/>
          <w:lang w:val="en-US" w:eastAsia="zh-CN"/>
        </w:rPr>
        <w:t>”对此，深房中协认为，虽然今年经济发展压力非常之大，但总理的定位再一次表明了中央对于楼市调控的决心不会动摇，“房住不炒”依然是未来我国房地产宏观话语背景的这一客观事实，在短期内不会被改变。</w:t>
      </w:r>
    </w:p>
    <w:p>
      <w:pPr>
        <w:keepNext w:val="0"/>
        <w:keepLines w:val="0"/>
        <w:pageBreakBefore w:val="0"/>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32"/>
          <w:szCs w:val="32"/>
          <w:lang w:val="en-US" w:eastAsia="zh-CN"/>
        </w:rPr>
      </w:pPr>
      <w:r>
        <w:rPr>
          <w:rFonts w:ascii="宋体" w:hAnsi="宋体" w:eastAsia="宋体" w:cs="宋体"/>
          <w:sz w:val="24"/>
          <w:szCs w:val="24"/>
        </w:rPr>
        <w:drawing>
          <wp:anchor distT="0" distB="0" distL="114300" distR="114300" simplePos="0" relativeHeight="251660288" behindDoc="1" locked="0" layoutInCell="1" allowOverlap="1">
            <wp:simplePos x="0" y="0"/>
            <wp:positionH relativeFrom="column">
              <wp:posOffset>908685</wp:posOffset>
            </wp:positionH>
            <wp:positionV relativeFrom="paragraph">
              <wp:posOffset>15875</wp:posOffset>
            </wp:positionV>
            <wp:extent cx="3753485" cy="2143125"/>
            <wp:effectExtent l="0" t="0" r="0" b="0"/>
            <wp:wrapTight wrapText="bothSides">
              <wp:wrapPolygon>
                <wp:start x="0" y="0"/>
                <wp:lineTo x="0" y="21504"/>
                <wp:lineTo x="21487" y="21504"/>
                <wp:lineTo x="21487" y="0"/>
                <wp:lineTo x="0" y="0"/>
              </wp:wrapPolygon>
            </wp:wrapTight>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3753485" cy="2143125"/>
                    </a:xfrm>
                    <a:prstGeom prst="rect">
                      <a:avLst/>
                    </a:prstGeom>
                    <a:noFill/>
                    <a:ln w="9525">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就深圳楼市而言，自复工以来的市场行情似乎是经历一轮“过山车”，根据深房中协网签数据（指在深圳市房地产信息系统在线签订《深圳市二手房买卖合同》示范文本合同份数，并非最终完成过户的备案套数。）统计，</w:t>
      </w:r>
      <w:r>
        <w:rPr>
          <w:rFonts w:hint="eastAsia" w:ascii="仿宋" w:hAnsi="仿宋" w:eastAsia="仿宋" w:cs="仿宋"/>
          <w:b/>
          <w:bCs/>
          <w:sz w:val="32"/>
          <w:szCs w:val="32"/>
          <w:u w:val="single"/>
          <w:lang w:val="en-US" w:eastAsia="zh-CN"/>
        </w:rPr>
        <w:t>5月份全市二手房网签9582套，环比4月份较大幅度的下降37.3%。</w:t>
      </w:r>
      <w:r>
        <w:rPr>
          <w:rFonts w:hint="eastAsia" w:ascii="仿宋" w:hAnsi="仿宋" w:eastAsia="仿宋" w:cs="仿宋"/>
          <w:sz w:val="32"/>
          <w:szCs w:val="32"/>
          <w:lang w:val="en-US" w:eastAsia="zh-CN"/>
        </w:rPr>
        <w:t>究其原因，众所周知，因全面复工进入4月份之后，市场叠加的积压集中释放，以及在部分人为炒作的叠加影响下，4月份的楼市行情出现了攀升。期间，主管部门及各相关政府机构，针对复工以来的楼市进行了科学的研判，分别针对楼市中的不正常炒作行为予以了及时与严厉的治理，使得前期热炒片区迅速得以降温（以南山、宝安两区为代表，5月二手房成交量占比均有所下滑），市场回归平稳。</w:t>
      </w:r>
    </w:p>
    <w:p>
      <w:pPr>
        <w:keepNext w:val="0"/>
        <w:keepLines w:val="0"/>
        <w:pageBreakBefore w:val="0"/>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32"/>
          <w:szCs w:val="32"/>
          <w:lang w:val="en-US" w:eastAsia="zh-CN"/>
        </w:rPr>
      </w:pPr>
      <w:r>
        <w:rPr>
          <w:rFonts w:ascii="宋体" w:hAnsi="宋体" w:eastAsia="宋体" w:cs="宋体"/>
          <w:sz w:val="24"/>
          <w:szCs w:val="24"/>
        </w:rPr>
        <w:drawing>
          <wp:anchor distT="0" distB="0" distL="114300" distR="114300" simplePos="0" relativeHeight="251662336" behindDoc="1" locked="0" layoutInCell="1" allowOverlap="1">
            <wp:simplePos x="0" y="0"/>
            <wp:positionH relativeFrom="column">
              <wp:posOffset>1041400</wp:posOffset>
            </wp:positionH>
            <wp:positionV relativeFrom="paragraph">
              <wp:posOffset>57785</wp:posOffset>
            </wp:positionV>
            <wp:extent cx="3288665" cy="2128520"/>
            <wp:effectExtent l="0" t="0" r="0" b="0"/>
            <wp:wrapTight wrapText="bothSides">
              <wp:wrapPolygon>
                <wp:start x="0" y="0"/>
                <wp:lineTo x="0" y="21458"/>
                <wp:lineTo x="21521" y="21458"/>
                <wp:lineTo x="21521" y="0"/>
                <wp:lineTo x="0" y="0"/>
              </wp:wrapPolygon>
            </wp:wrapTight>
            <wp:docPr id="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6"/>
                    <pic:cNvPicPr>
                      <a:picLocks noChangeAspect="1"/>
                    </pic:cNvPicPr>
                  </pic:nvPicPr>
                  <pic:blipFill>
                    <a:blip r:embed="rId5"/>
                    <a:stretch>
                      <a:fillRect/>
                    </a:stretch>
                  </pic:blipFill>
                  <pic:spPr>
                    <a:xfrm>
                      <a:off x="0" y="0"/>
                      <a:ext cx="3288665" cy="2128520"/>
                    </a:xfrm>
                    <a:prstGeom prst="rect">
                      <a:avLst/>
                    </a:prstGeom>
                    <a:noFill/>
                    <a:ln w="9525">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sz w:val="32"/>
        </w:rPr>
        <mc:AlternateContent>
          <mc:Choice Requires="wps">
            <w:drawing>
              <wp:anchor distT="0" distB="0" distL="114300" distR="114300" simplePos="0" relativeHeight="251708416" behindDoc="0" locked="0" layoutInCell="1" allowOverlap="1">
                <wp:simplePos x="0" y="0"/>
                <wp:positionH relativeFrom="column">
                  <wp:posOffset>4128135</wp:posOffset>
                </wp:positionH>
                <wp:positionV relativeFrom="paragraph">
                  <wp:posOffset>120015</wp:posOffset>
                </wp:positionV>
                <wp:extent cx="8890" cy="228600"/>
                <wp:effectExtent l="59690" t="635" r="64770" b="18415"/>
                <wp:wrapNone/>
                <wp:docPr id="10" name="直接箭头连接符 10"/>
                <wp:cNvGraphicFramePr/>
                <a:graphic xmlns:a="http://schemas.openxmlformats.org/drawingml/2006/main">
                  <a:graphicData uri="http://schemas.microsoft.com/office/word/2010/wordprocessingShape">
                    <wps:wsp>
                      <wps:cNvCnPr/>
                      <wps:spPr>
                        <a:xfrm flipH="1">
                          <a:off x="0" y="0"/>
                          <a:ext cx="8890" cy="228600"/>
                        </a:xfrm>
                        <a:prstGeom prst="straightConnector1">
                          <a:avLst/>
                        </a:prstGeom>
                        <a:ln w="28575">
                          <a:solidFill>
                            <a:schemeClr val="accent6"/>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25.05pt;margin-top:9.45pt;height:18pt;width:0.7pt;z-index:251708416;mso-width-relative:page;mso-height-relative:page;" filled="f" stroked="t" coordsize="21600,21600" o:gfxdata="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dOf9jYAAAACQEAAA8AAAAAAAAAAQAgAAAAIgAAAGRycy9kb3ducmV2LnhtbFBL&#10;AQIUABQAAAAIAIdO4kCHwlf29gEAAJ8DAAAOAAAAAAAAAAEAIAAAACcBAABkcnMvZTJvRG9jLnht&#10;bFBLBQYAAAAABgAGAFkBAACPBQAAAAA=&#10;">
                <v:fill on="f" focussize="0,0"/>
                <v:stroke weight="2.25pt" color="#70AD47 [3209]"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1035050</wp:posOffset>
                </wp:positionH>
                <wp:positionV relativeFrom="paragraph">
                  <wp:posOffset>107950</wp:posOffset>
                </wp:positionV>
                <wp:extent cx="3264535" cy="198755"/>
                <wp:effectExtent l="9525" t="9525" r="21590" b="20320"/>
                <wp:wrapNone/>
                <wp:docPr id="6" name="矩形 6"/>
                <wp:cNvGraphicFramePr/>
                <a:graphic xmlns:a="http://schemas.openxmlformats.org/drawingml/2006/main">
                  <a:graphicData uri="http://schemas.microsoft.com/office/word/2010/wordprocessingShape">
                    <wps:wsp>
                      <wps:cNvSpPr/>
                      <wps:spPr>
                        <a:xfrm>
                          <a:off x="2121535" y="4612640"/>
                          <a:ext cx="3264535" cy="198755"/>
                        </a:xfrm>
                        <a:prstGeom prst="rect">
                          <a:avLst/>
                        </a:prstGeom>
                        <a:noFill/>
                        <a:ln w="28575">
                          <a:solidFill>
                            <a:schemeClr val="accent6"/>
                          </a:solidFill>
                        </a:ln>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5pt;margin-top:8.5pt;height:15.65pt;width:257.05pt;z-index:251663360;v-text-anchor:middle;mso-width-relative:page;mso-height-relative:page;" filled="f" stroked="t" coordsize="21600,21600" o:gfxdata="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Aj+GldgAAAAJAQAADwAAAAAA&#10;AAABACAAAAAiAAAAZHJzL2Rvd25yZXYueG1sUEsBAhQAFAAAAAgAh07iQOMv88S+AgAAcQUAAA4A&#10;AAAAAAAAAQAgAAAAJwEAAGRycy9lMm9Eb2MueG1sUEsFBgAAAAAGAAYAWQEAAFcGAAAAAA==&#10;">
                <v:fill on="f" focussize="0,0"/>
                <v:stroke weight="2.25pt" color="#70AD47 [3209]" miterlimit="8" joinstyle="miter"/>
                <v:imagedata o:title=""/>
                <o:lock v:ext="edit" aspectratio="f"/>
              </v:rect>
            </w:pict>
          </mc:Fallback>
        </mc:AlternateConten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sz w:val="32"/>
        </w:rPr>
        <mc:AlternateContent>
          <mc:Choice Requires="wps">
            <w:drawing>
              <wp:anchor distT="0" distB="0" distL="114300" distR="114300" simplePos="0" relativeHeight="251681792" behindDoc="0" locked="0" layoutInCell="1" allowOverlap="1">
                <wp:simplePos x="0" y="0"/>
                <wp:positionH relativeFrom="column">
                  <wp:posOffset>1043305</wp:posOffset>
                </wp:positionH>
                <wp:positionV relativeFrom="paragraph">
                  <wp:posOffset>135255</wp:posOffset>
                </wp:positionV>
                <wp:extent cx="3264535" cy="198755"/>
                <wp:effectExtent l="13970" t="13970" r="17145" b="15875"/>
                <wp:wrapNone/>
                <wp:docPr id="8" name="矩形 8"/>
                <wp:cNvGraphicFramePr/>
                <a:graphic xmlns:a="http://schemas.openxmlformats.org/drawingml/2006/main">
                  <a:graphicData uri="http://schemas.microsoft.com/office/word/2010/wordprocessingShape">
                    <wps:wsp>
                      <wps:cNvSpPr/>
                      <wps:spPr>
                        <a:xfrm>
                          <a:off x="0" y="0"/>
                          <a:ext cx="3264535" cy="19875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15pt;margin-top:10.65pt;height:15.65pt;width:257.05pt;z-index:251681792;v-text-anchor:middle;mso-width-relative:page;mso-height-relative:page;" filled="f" stroked="t" coordsize="21600,21600" o:gfxdata="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f5oH9cAAAAJAQAADwAA&#10;AAAAAAABACAAAAAiAAAAZHJzL2Rvd25yZXYueG1sUEsBAhQAFAAAAAgAh07iQG2Uo+JQAgAAfQQA&#10;AA4AAAAAAAAAAQAgAAAAJgEAAGRycy9lMm9Eb2MueG1sUEsFBgAAAAAGAAYAWQEAAOgFAAAAAA==&#10;">
                <v:fill on="f" focussize="0,0"/>
                <v:stroke weight="2.25pt" color="#FF0000 [3204]" miterlimit="8" joinstyle="miter"/>
                <v:imagedata o:title=""/>
                <o:lock v:ext="edit" aspectratio="f"/>
              </v:rect>
            </w:pict>
          </mc:Fallback>
        </mc:AlternateContent>
      </w:r>
      <w:r>
        <w:rPr>
          <w:sz w:val="32"/>
        </w:rPr>
        <mc:AlternateContent>
          <mc:Choice Requires="wps">
            <w:drawing>
              <wp:anchor distT="0" distB="0" distL="114300" distR="114300" simplePos="0" relativeHeight="251682816" behindDoc="0" locked="0" layoutInCell="1" allowOverlap="1">
                <wp:simplePos x="0" y="0"/>
                <wp:positionH relativeFrom="column">
                  <wp:posOffset>4107815</wp:posOffset>
                </wp:positionH>
                <wp:positionV relativeFrom="paragraph">
                  <wp:posOffset>122555</wp:posOffset>
                </wp:positionV>
                <wp:extent cx="0" cy="216535"/>
                <wp:effectExtent l="64135" t="0" r="69215" b="12065"/>
                <wp:wrapNone/>
                <wp:docPr id="9" name="直接箭头连接符 9"/>
                <wp:cNvGraphicFramePr/>
                <a:graphic xmlns:a="http://schemas.openxmlformats.org/drawingml/2006/main">
                  <a:graphicData uri="http://schemas.microsoft.com/office/word/2010/wordprocessingShape">
                    <wps:wsp>
                      <wps:cNvCnPr/>
                      <wps:spPr>
                        <a:xfrm flipV="1">
                          <a:off x="2658745" y="5651500"/>
                          <a:ext cx="0" cy="216535"/>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23.45pt;margin-top:9.65pt;height:17.05pt;width:0pt;z-index:251682816;mso-width-relative:page;mso-height-relative:page;" filled="f" stroked="t" coordsize="21600,21600" o:gfxdata="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i4ZQp1QAAAAkBAAAPAAAAAAAAAAEAIAAAACIAAABkcnMvZG93bnJl&#10;di54bWxQSwECFAAUAAAACACHTuJAu8y7KAACAACmAwAADgAAAAAAAAABACAAAAAkAQAAZHJzL2Uy&#10;b0RvYy54bWxQSwUGAAAAAAYABgBZAQAAlgUAAAAA&#10;">
                <v:fill on="f" focussize="0,0"/>
                <v:stroke weight="2.25pt" color="#FF0000 [3204]" miterlimit="8" joinstyle="miter" endarrow="open"/>
                <v:imagedata o:title=""/>
                <o:lock v:ext="edit" aspectratio="f"/>
              </v:shape>
            </w:pict>
          </mc:Fallback>
        </mc:AlternateContent>
      </w:r>
      <w:r>
        <w:rPr>
          <w:rFonts w:hint="eastAsia" w:ascii="Arial" w:hAnsi="Arial" w:eastAsia="仿宋" w:cs="Arial"/>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sz w:val="32"/>
        </w:rPr>
        <mc:AlternateContent>
          <mc:Choice Requires="wps">
            <w:drawing>
              <wp:anchor distT="0" distB="0" distL="114300" distR="114300" simplePos="0" relativeHeight="251669504" behindDoc="0" locked="0" layoutInCell="1" allowOverlap="1">
                <wp:simplePos x="0" y="0"/>
                <wp:positionH relativeFrom="column">
                  <wp:posOffset>1033145</wp:posOffset>
                </wp:positionH>
                <wp:positionV relativeFrom="paragraph">
                  <wp:posOffset>345440</wp:posOffset>
                </wp:positionV>
                <wp:extent cx="3264535" cy="198755"/>
                <wp:effectExtent l="13970" t="13970" r="17145" b="15875"/>
                <wp:wrapNone/>
                <wp:docPr id="7" name="矩形 7"/>
                <wp:cNvGraphicFramePr/>
                <a:graphic xmlns:a="http://schemas.openxmlformats.org/drawingml/2006/main">
                  <a:graphicData uri="http://schemas.microsoft.com/office/word/2010/wordprocessingShape">
                    <wps:wsp>
                      <wps:cNvSpPr/>
                      <wps:spPr>
                        <a:xfrm>
                          <a:off x="0" y="0"/>
                          <a:ext cx="3264535" cy="198755"/>
                        </a:xfrm>
                        <a:prstGeom prst="rect">
                          <a:avLst/>
                        </a:prstGeom>
                        <a:noFill/>
                        <a:ln w="28575">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35pt;margin-top:27.2pt;height:15.65pt;width:257.05pt;z-index:251669504;v-text-anchor:middle;mso-width-relative:page;mso-height-relative:page;" filled="f" stroked="t" coordsize="21600,21600" o:gfxdata="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qE6UdgAAAAJAQAA&#10;DwAAAAAAAAABACAAAAAiAAAAZHJzL2Rvd25yZXYueG1sUEsBAhQAFAAAAAgAh07iQFGuIDVSAgAA&#10;fQQAAA4AAAAAAAAAAQAgAAAAJwEAAGRycy9lMm9Eb2MueG1sUEsFBgAAAAAGAAYAWQEAAOsFAAAA&#10;AA==&#10;">
                <v:fill on="f" focussize="0,0"/>
                <v:stroke weight="2.25pt" color="#70AD47 [3209]" miterlimit="8" joinstyle="miter"/>
                <v:imagedata o:title=""/>
                <o:lock v:ext="edit" aspectratio="f"/>
              </v:rect>
            </w:pict>
          </mc:Fallback>
        </mc:AlternateContent>
      </w:r>
      <w:r>
        <w:rPr>
          <w:sz w:val="32"/>
        </w:rPr>
        <mc:AlternateContent>
          <mc:Choice Requires="wps">
            <w:drawing>
              <wp:anchor distT="0" distB="0" distL="114300" distR="114300" simplePos="0" relativeHeight="251759616" behindDoc="0" locked="0" layoutInCell="1" allowOverlap="1">
                <wp:simplePos x="0" y="0"/>
                <wp:positionH relativeFrom="column">
                  <wp:posOffset>4144010</wp:posOffset>
                </wp:positionH>
                <wp:positionV relativeFrom="paragraph">
                  <wp:posOffset>339725</wp:posOffset>
                </wp:positionV>
                <wp:extent cx="8890" cy="228600"/>
                <wp:effectExtent l="59690" t="635" r="64770" b="18415"/>
                <wp:wrapNone/>
                <wp:docPr id="11" name="直接箭头连接符 11"/>
                <wp:cNvGraphicFramePr/>
                <a:graphic xmlns:a="http://schemas.openxmlformats.org/drawingml/2006/main">
                  <a:graphicData uri="http://schemas.microsoft.com/office/word/2010/wordprocessingShape">
                    <wps:wsp>
                      <wps:cNvCnPr/>
                      <wps:spPr>
                        <a:xfrm flipH="1">
                          <a:off x="0" y="0"/>
                          <a:ext cx="8890" cy="228600"/>
                        </a:xfrm>
                        <a:prstGeom prst="straightConnector1">
                          <a:avLst/>
                        </a:prstGeom>
                        <a:ln w="28575">
                          <a:solidFill>
                            <a:schemeClr val="accent6"/>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26.3pt;margin-top:26.75pt;height:18pt;width:0.7pt;z-index:251759616;mso-width-relative:page;mso-height-relative:page;" filled="f" stroked="t" coordsize="21600,21600" o:gfxdata="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4z/LT1QAAAAcBAAAPAAAAAAAAAAEAIAAAACIAAABkcnMvZG93bnJldi54bWxQSwEC&#10;FAAUAAAACACHTuJA3ogzavcBAACfAwAADgAAAAAAAAABACAAAAAkAQAAZHJzL2Uyb0RvYy54bWxQ&#10;SwUGAAAAAAYABgBZAQAAjQUAAAAA&#10;">
                <v:fill on="f" focussize="0,0"/>
                <v:stroke weight="2.25pt" color="#70AD47 [3209]"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809792" behindDoc="0" locked="0" layoutInCell="1" allowOverlap="1">
                <wp:simplePos x="0" y="0"/>
                <wp:positionH relativeFrom="column">
                  <wp:posOffset>4107180</wp:posOffset>
                </wp:positionH>
                <wp:positionV relativeFrom="paragraph">
                  <wp:posOffset>145415</wp:posOffset>
                </wp:positionV>
                <wp:extent cx="0" cy="216535"/>
                <wp:effectExtent l="64135" t="0" r="69215" b="12065"/>
                <wp:wrapNone/>
                <wp:docPr id="13" name="直接箭头连接符 13"/>
                <wp:cNvGraphicFramePr/>
                <a:graphic xmlns:a="http://schemas.openxmlformats.org/drawingml/2006/main">
                  <a:graphicData uri="http://schemas.microsoft.com/office/word/2010/wordprocessingShape">
                    <wps:wsp>
                      <wps:cNvCnPr/>
                      <wps:spPr>
                        <a:xfrm flipV="1">
                          <a:off x="0" y="0"/>
                          <a:ext cx="0" cy="216535"/>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23.4pt;margin-top:11.45pt;height:17.05pt;width:0pt;z-index:251809792;mso-width-relative:page;mso-height-relative:page;" filled="f" stroked="t" coordsize="21600,21600" o:gfxdata="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Y/9DVAAAACQEAAA8AAAAAAAAAAQAgAAAAIgAAAGRycy9kb3ducmV2LnhtbFBLAQIUABQAAAAI&#10;AIdO4kA6OsMG8AEAAJwDAAAOAAAAAAAAAAEAIAAAACQBAABkcnMvZTJvRG9jLnhtbFBLBQYAAAAA&#10;BgAGAFkBAACGBQAAAAA=&#10;">
                <v:fill on="f" focussize="0,0"/>
                <v:stroke weight="2.25pt" color="#FF0000 [3204]"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784192" behindDoc="0" locked="0" layoutInCell="1" allowOverlap="1">
                <wp:simplePos x="0" y="0"/>
                <wp:positionH relativeFrom="column">
                  <wp:posOffset>1033145</wp:posOffset>
                </wp:positionH>
                <wp:positionV relativeFrom="paragraph">
                  <wp:posOffset>140335</wp:posOffset>
                </wp:positionV>
                <wp:extent cx="3264535" cy="198755"/>
                <wp:effectExtent l="13970" t="13970" r="17145" b="15875"/>
                <wp:wrapNone/>
                <wp:docPr id="12" name="矩形 12"/>
                <wp:cNvGraphicFramePr/>
                <a:graphic xmlns:a="http://schemas.openxmlformats.org/drawingml/2006/main">
                  <a:graphicData uri="http://schemas.microsoft.com/office/word/2010/wordprocessingShape">
                    <wps:wsp>
                      <wps:cNvSpPr/>
                      <wps:spPr>
                        <a:xfrm>
                          <a:off x="0" y="0"/>
                          <a:ext cx="3264535" cy="19875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35pt;margin-top:11.05pt;height:15.65pt;width:257.05pt;z-index:251784192;v-text-anchor:middle;mso-width-relative:page;mso-height-relative:page;" filled="f" stroked="t" coordsize="21600,21600" o:gfxdata="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i01tdgAAAAJAQAA&#10;DwAAAAAAAAABACAAAAAiAAAAZHJzL2Rvd25yZXYueG1sUEsBAhQAFAAAAAgAh07iQDqhR5ZSAgAA&#10;fwQAAA4AAAAAAAAAAQAgAAAAJwEAAGRycy9lMm9Eb2MueG1sUEsFBgAAAAAGAAYAWQEAAOsFAAAA&#10;AA==&#10;">
                <v:fill on="f" focussize="0,0"/>
                <v:stroke weight="2.25pt" color="#FF0000 [3204]" miterlimit="8" joinstyle="miter"/>
                <v:imagedata o:title=""/>
                <o:lock v:ext="edit" aspectratio="f"/>
              </v:rect>
            </w:pict>
          </mc:Fallback>
        </mc:AlternateConten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时，针对旺盛的市场刚需，则一方面加快了新房批售效率，另一方面则要求各区物业管理机构对于符合防疫要求的合规中介带看房行为予以放行，业主放盘意愿与信心在短期内迅速恢复，增加了市场房源供应量（见下图），缓解了供需矛盾。</w:t>
      </w:r>
    </w:p>
    <w:p>
      <w:pPr>
        <w:keepNext w:val="0"/>
        <w:keepLines w:val="0"/>
        <w:pageBreakBefore w:val="0"/>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32"/>
          <w:szCs w:val="32"/>
          <w:lang w:val="en-US" w:eastAsia="zh-CN"/>
        </w:rPr>
      </w:pPr>
      <w:r>
        <w:rPr>
          <w:rFonts w:ascii="宋体" w:hAnsi="宋体" w:eastAsia="宋体" w:cs="宋体"/>
          <w:sz w:val="24"/>
          <w:szCs w:val="24"/>
        </w:rPr>
        <w:drawing>
          <wp:anchor distT="0" distB="0" distL="114300" distR="114300" simplePos="0" relativeHeight="251661312" behindDoc="1" locked="0" layoutInCell="1" allowOverlap="1">
            <wp:simplePos x="0" y="0"/>
            <wp:positionH relativeFrom="column">
              <wp:posOffset>1065530</wp:posOffset>
            </wp:positionH>
            <wp:positionV relativeFrom="paragraph">
              <wp:posOffset>41910</wp:posOffset>
            </wp:positionV>
            <wp:extent cx="3451860" cy="2074545"/>
            <wp:effectExtent l="0" t="0" r="0" b="0"/>
            <wp:wrapNone/>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6"/>
                    <a:stretch>
                      <a:fillRect/>
                    </a:stretch>
                  </pic:blipFill>
                  <pic:spPr>
                    <a:xfrm>
                      <a:off x="0" y="0"/>
                      <a:ext cx="3451860" cy="2074545"/>
                    </a:xfrm>
                    <a:prstGeom prst="rect">
                      <a:avLst/>
                    </a:prstGeom>
                    <a:noFill/>
                    <a:ln w="9525">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（数据来源：各大中介机构官方网站）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u w:val="single"/>
          <w:lang w:val="en-US" w:eastAsia="zh-CN"/>
        </w:rPr>
      </w:pPr>
      <w:r>
        <w:rPr>
          <w:rFonts w:hint="eastAsia" w:ascii="仿宋" w:hAnsi="仿宋" w:eastAsia="仿宋" w:cs="仿宋"/>
          <w:sz w:val="32"/>
          <w:szCs w:val="32"/>
          <w:lang w:val="en-US" w:eastAsia="zh-CN"/>
        </w:rPr>
        <w:t>但此次楼市成交量的回落，并非预示着深圳楼市迎来了</w:t>
      </w:r>
      <w:r>
        <w:rPr>
          <w:rFonts w:hint="eastAsia" w:ascii="仿宋" w:hAnsi="仿宋" w:eastAsia="仿宋" w:cs="仿宋"/>
          <w:b/>
          <w:bCs/>
          <w:sz w:val="32"/>
          <w:szCs w:val="32"/>
          <w:u w:val="single"/>
          <w:lang w:val="en-US" w:eastAsia="zh-CN"/>
        </w:rPr>
        <w:t>大起大落行情，</w:t>
      </w:r>
      <w:r>
        <w:rPr>
          <w:rFonts w:hint="eastAsia" w:ascii="仿宋" w:hAnsi="仿宋" w:eastAsia="仿宋" w:cs="仿宋"/>
          <w:sz w:val="32"/>
          <w:szCs w:val="32"/>
          <w:lang w:val="en-US" w:eastAsia="zh-CN"/>
        </w:rPr>
        <w:t>根据网签数据统计，虽自进入5月份之后，深圳二手房成交量冲高回落，</w:t>
      </w:r>
      <w:r>
        <w:rPr>
          <w:rFonts w:hint="eastAsia" w:ascii="仿宋" w:hAnsi="仿宋" w:eastAsia="仿宋" w:cs="仿宋"/>
          <w:b/>
          <w:bCs/>
          <w:sz w:val="32"/>
          <w:szCs w:val="32"/>
          <w:u w:val="single"/>
          <w:lang w:val="en-US" w:eastAsia="zh-CN"/>
        </w:rPr>
        <w:t>但同比2019年5月份的二手房网签量仍有60.6%的涨幅</w:t>
      </w:r>
      <w:r>
        <w:rPr>
          <w:rFonts w:hint="eastAsia" w:ascii="仿宋" w:hAnsi="仿宋" w:eastAsia="仿宋" w:cs="仿宋"/>
          <w:sz w:val="32"/>
          <w:szCs w:val="32"/>
          <w:lang w:val="en-US" w:eastAsia="zh-CN"/>
        </w:rPr>
        <w:t>，</w:t>
      </w:r>
      <w:r>
        <w:rPr>
          <w:rFonts w:hint="eastAsia" w:ascii="仿宋" w:hAnsi="仿宋" w:eastAsia="仿宋" w:cs="仿宋"/>
          <w:b/>
          <w:bCs/>
          <w:sz w:val="32"/>
          <w:szCs w:val="32"/>
          <w:u w:val="single"/>
          <w:lang w:val="en-US" w:eastAsia="zh-CN"/>
        </w:rPr>
        <w:t>并未出现断崖式下跌</w:t>
      </w:r>
      <w:r>
        <w:rPr>
          <w:rFonts w:hint="eastAsia" w:ascii="仿宋" w:hAnsi="仿宋" w:eastAsia="仿宋" w:cs="仿宋"/>
          <w:sz w:val="32"/>
          <w:szCs w:val="32"/>
          <w:lang w:val="en-US" w:eastAsia="zh-CN"/>
        </w:rPr>
        <w:t>；并且深房中协还观察到，5月份，我市东部，尤其以</w:t>
      </w:r>
      <w:r>
        <w:rPr>
          <w:rFonts w:hint="eastAsia" w:ascii="仿宋" w:hAnsi="仿宋" w:eastAsia="仿宋" w:cs="仿宋"/>
          <w:b/>
          <w:bCs/>
          <w:sz w:val="32"/>
          <w:szCs w:val="32"/>
          <w:u w:val="single"/>
          <w:lang w:val="en-US" w:eastAsia="zh-CN"/>
        </w:rPr>
        <w:t>龙岗</w:t>
      </w:r>
      <w:r>
        <w:rPr>
          <w:rFonts w:hint="eastAsia" w:ascii="仿宋" w:hAnsi="仿宋" w:eastAsia="仿宋" w:cs="仿宋"/>
          <w:sz w:val="32"/>
          <w:szCs w:val="32"/>
          <w:lang w:val="en-US" w:eastAsia="zh-CN"/>
        </w:rPr>
        <w:t>、</w:t>
      </w:r>
      <w:r>
        <w:rPr>
          <w:rFonts w:hint="eastAsia" w:ascii="仿宋" w:hAnsi="仿宋" w:eastAsia="仿宋" w:cs="仿宋"/>
          <w:b/>
          <w:bCs/>
          <w:sz w:val="32"/>
          <w:szCs w:val="32"/>
          <w:u w:val="single"/>
          <w:lang w:val="en-US" w:eastAsia="zh-CN"/>
        </w:rPr>
        <w:t>罗湖</w:t>
      </w:r>
      <w:r>
        <w:rPr>
          <w:rFonts w:hint="eastAsia" w:ascii="仿宋" w:hAnsi="仿宋" w:eastAsia="仿宋" w:cs="仿宋"/>
          <w:sz w:val="32"/>
          <w:szCs w:val="32"/>
          <w:lang w:val="en-US" w:eastAsia="zh-CN"/>
        </w:rPr>
        <w:t>两个以</w:t>
      </w:r>
      <w:r>
        <w:rPr>
          <w:rFonts w:hint="eastAsia" w:ascii="仿宋" w:hAnsi="仿宋" w:eastAsia="仿宋" w:cs="仿宋"/>
          <w:b/>
          <w:bCs/>
          <w:sz w:val="32"/>
          <w:szCs w:val="32"/>
          <w:u w:val="single"/>
          <w:lang w:val="en-US" w:eastAsia="zh-CN"/>
        </w:rPr>
        <w:t>刚需置业为主</w:t>
      </w:r>
      <w:r>
        <w:rPr>
          <w:rFonts w:hint="eastAsia" w:ascii="仿宋" w:hAnsi="仿宋" w:eastAsia="仿宋" w:cs="仿宋"/>
          <w:sz w:val="32"/>
          <w:szCs w:val="32"/>
          <w:lang w:val="en-US" w:eastAsia="zh-CN"/>
        </w:rPr>
        <w:t>的片区</w:t>
      </w:r>
      <w:r>
        <w:rPr>
          <w:rFonts w:hint="eastAsia" w:ascii="仿宋" w:hAnsi="仿宋" w:eastAsia="仿宋" w:cs="仿宋"/>
          <w:b/>
          <w:bCs/>
          <w:sz w:val="32"/>
          <w:szCs w:val="32"/>
          <w:u w:val="single"/>
          <w:lang w:val="en-US" w:eastAsia="zh-CN"/>
        </w:rPr>
        <w:t>二手房成交量占全市二手房成交量的比例，呈现升高态势</w:t>
      </w:r>
      <w:r>
        <w:rPr>
          <w:rFonts w:hint="eastAsia" w:ascii="仿宋" w:hAnsi="仿宋" w:eastAsia="仿宋" w:cs="仿宋"/>
          <w:sz w:val="32"/>
          <w:szCs w:val="32"/>
          <w:lang w:val="en-US" w:eastAsia="zh-CN"/>
        </w:rPr>
        <w:t>，说明作为楼市压舱石的刚需，在全市成交的比例中不断扩大，楼市的平稳态势并未改变，因此，</w:t>
      </w:r>
      <w:r>
        <w:rPr>
          <w:rFonts w:hint="eastAsia" w:ascii="仿宋" w:hAnsi="仿宋" w:eastAsia="仿宋" w:cs="仿宋"/>
          <w:b/>
          <w:bCs/>
          <w:sz w:val="32"/>
          <w:szCs w:val="32"/>
          <w:lang w:val="en-US" w:eastAsia="zh-CN"/>
        </w:rPr>
        <w:t>5月份的二手房成交量下滑，只是阶段性的调整行情，</w:t>
      </w:r>
      <w:r>
        <w:rPr>
          <w:rFonts w:hint="eastAsia" w:ascii="仿宋" w:hAnsi="仿宋" w:eastAsia="仿宋" w:cs="仿宋"/>
          <w:sz w:val="32"/>
          <w:szCs w:val="32"/>
          <w:lang w:val="en-US" w:eastAsia="zh-CN"/>
        </w:rPr>
        <w:t>短期而言，进入5月末后，我市二手房成交量周走势有出现企稳反弹的苗头，</w:t>
      </w:r>
      <w:r>
        <w:rPr>
          <w:rFonts w:hint="eastAsia" w:ascii="仿宋" w:hAnsi="仿宋" w:eastAsia="仿宋" w:cs="仿宋"/>
          <w:b/>
          <w:bCs/>
          <w:sz w:val="32"/>
          <w:szCs w:val="32"/>
          <w:u w:val="single"/>
          <w:lang w:val="en-US" w:eastAsia="zh-CN"/>
        </w:rPr>
        <w:t>但这种苗头能否持续，仍需观察</w:t>
      </w:r>
      <w:r>
        <w:rPr>
          <w:rFonts w:hint="eastAsia" w:ascii="仿宋" w:hAnsi="仿宋" w:eastAsia="仿宋" w:cs="仿宋"/>
          <w:sz w:val="32"/>
          <w:szCs w:val="32"/>
          <w:lang w:val="en-US" w:eastAsia="zh-CN"/>
        </w:rPr>
        <w:t>。毕竟目前全球疫情影响下的全球经济衰退已成大概率事件，下半年中国经济发展承压的压力依然不容小觑，同时，在中央“房住不炒”的定位下，短期楼市调控政策是否会出现加码态势，也存一定的变数，因此，</w:t>
      </w:r>
      <w:r>
        <w:rPr>
          <w:rFonts w:hint="eastAsia" w:ascii="仿宋" w:hAnsi="仿宋" w:eastAsia="仿宋" w:cs="仿宋"/>
          <w:b/>
          <w:bCs/>
          <w:sz w:val="32"/>
          <w:szCs w:val="32"/>
          <w:u w:val="single"/>
          <w:lang w:val="en-US" w:eastAsia="zh-CN"/>
        </w:rPr>
        <w:t>目前就断定楼市已走完调整阶段为时尚早！</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bookmarkStart w:id="0" w:name="_GoBack"/>
      <w:bookmarkEnd w:id="0"/>
      <w:r>
        <w:drawing>
          <wp:anchor distT="0" distB="0" distL="114300" distR="114300" simplePos="0" relativeHeight="251810816" behindDoc="1" locked="0" layoutInCell="1" allowOverlap="1">
            <wp:simplePos x="0" y="0"/>
            <wp:positionH relativeFrom="column">
              <wp:posOffset>697230</wp:posOffset>
            </wp:positionH>
            <wp:positionV relativeFrom="paragraph">
              <wp:posOffset>83820</wp:posOffset>
            </wp:positionV>
            <wp:extent cx="4378960" cy="2796540"/>
            <wp:effectExtent l="4445" t="4445" r="17145" b="18415"/>
            <wp:wrapNone/>
            <wp:docPr id="1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数据层面分析，随着行业的全面复工复产，深圳楼市需求量在短时间内便出现了较为集中的恢复，虽二手房成交量不及去年同期水平，但却可以清晰的看到深圳楼市的自我恢复能力较强，与此前深房中协所预测的深圳楼市韧性较足的结论是吻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当然目前疫情仍未完全消除，同时，境外疫情的爆发也导致全球经济不可避免的出现衰退，在我国融入全球化程度越来越深的当下，我国出口导向性的经济发展方式也势必会因全球经济衰退而受到传导影响，未来存在经济下行压力增大的可能，经济发展的不确定性风险在累加，因此，受经济基本面不稳定的影响，短期3月份楼市成交量的快速恢复，是否会一直持续下去呢，还只是“东边日出西边雨,道是无晴却有晴”反复震荡则仍有待时日观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D1116E"/>
    <w:rsid w:val="051C3D45"/>
    <w:rsid w:val="067275BA"/>
    <w:rsid w:val="06D93F5D"/>
    <w:rsid w:val="078E334A"/>
    <w:rsid w:val="08F92EE2"/>
    <w:rsid w:val="0C2566DD"/>
    <w:rsid w:val="0F171518"/>
    <w:rsid w:val="0F646E67"/>
    <w:rsid w:val="16B45F3A"/>
    <w:rsid w:val="1D4825E0"/>
    <w:rsid w:val="221966B1"/>
    <w:rsid w:val="24576348"/>
    <w:rsid w:val="245B7211"/>
    <w:rsid w:val="24813EDE"/>
    <w:rsid w:val="26AA77D8"/>
    <w:rsid w:val="270465E1"/>
    <w:rsid w:val="297B5AE5"/>
    <w:rsid w:val="29D822C0"/>
    <w:rsid w:val="302154B1"/>
    <w:rsid w:val="32244773"/>
    <w:rsid w:val="33056AF4"/>
    <w:rsid w:val="38076C4A"/>
    <w:rsid w:val="38572701"/>
    <w:rsid w:val="3B1F0564"/>
    <w:rsid w:val="3B3132C7"/>
    <w:rsid w:val="3D3709F1"/>
    <w:rsid w:val="3F096C09"/>
    <w:rsid w:val="41911686"/>
    <w:rsid w:val="457A4928"/>
    <w:rsid w:val="45D15413"/>
    <w:rsid w:val="47836CA4"/>
    <w:rsid w:val="49AA0B25"/>
    <w:rsid w:val="55176F81"/>
    <w:rsid w:val="57685049"/>
    <w:rsid w:val="628423BD"/>
    <w:rsid w:val="66C5215B"/>
    <w:rsid w:val="687C7968"/>
    <w:rsid w:val="763874FA"/>
    <w:rsid w:val="77A1518A"/>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chart" Target="charts/chart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2160" b="1" i="0" u="none" strike="noStrike" kern="1200" baseline="0">
                <a:solidFill>
                  <a:schemeClr val="accent5">
                    <a:lumMod val="75000"/>
                  </a:schemeClr>
                </a:solidFill>
                <a:latin typeface="+mn-lt"/>
                <a:ea typeface="+mn-ea"/>
                <a:cs typeface="+mn-cs"/>
              </a:defRPr>
            </a:pPr>
            <a:r>
              <a:rPr lang="zh-CN" altLang="zh-CN" sz="1200" b="1" i="0" u="none" strike="noStrike" kern="1200" baseline="0" dirty="0" smtClean="0">
                <a:solidFill>
                  <a:schemeClr val="accent5">
                    <a:lumMod val="75000"/>
                  </a:schemeClr>
                </a:solidFill>
                <a:effectLst/>
                <a:latin typeface="微软雅黑" panose="020B0503020204020204" charset="-122"/>
                <a:ea typeface="微软雅黑" panose="020B0503020204020204" charset="-122"/>
                <a:cs typeface="微软雅黑" panose="020B0503020204020204" charset="-122"/>
                <a:sym typeface="微软雅黑" panose="020B0503020204020204" charset="-122"/>
              </a:rPr>
              <a:t>深房中协房地产中介行业标准指数</a:t>
            </a:r>
            <a:endParaRPr lang="en-US" altLang="zh-CN" sz="1200" b="1" i="0" u="none" strike="noStrike" kern="1200" baseline="0" dirty="0" smtClean="0">
              <a:solidFill>
                <a:schemeClr val="accent5">
                  <a:lumMod val="75000"/>
                </a:schemeClr>
              </a:solidFill>
              <a:effectLst/>
              <a:latin typeface="微软雅黑" panose="020B0503020204020204" charset="-122"/>
              <a:ea typeface="微软雅黑" panose="020B0503020204020204" charset="-122"/>
              <a:cs typeface="微软雅黑" panose="020B0503020204020204" charset="-122"/>
              <a:sym typeface="微软雅黑" panose="020B0503020204020204" charset="-122"/>
            </a:endParaRPr>
          </a:p>
          <a:p>
            <a:pPr>
              <a:defRPr lang="zh-CN" sz="2160" b="1" i="0" u="none" strike="noStrike" kern="1200" baseline="0">
                <a:solidFill>
                  <a:schemeClr val="accent5">
                    <a:lumMod val="75000"/>
                  </a:schemeClr>
                </a:solidFill>
                <a:latin typeface="+mn-lt"/>
                <a:ea typeface="+mn-ea"/>
                <a:cs typeface="+mn-cs"/>
              </a:defRPr>
            </a:pPr>
            <a:r>
              <a:rPr lang="zh-CN" altLang="zh-CN" sz="1000" b="1" i="0" u="none" strike="noStrike" kern="1200" baseline="0" dirty="0" smtClean="0">
                <a:solidFill>
                  <a:schemeClr val="accent5">
                    <a:lumMod val="75000"/>
                  </a:schemeClr>
                </a:solidFill>
                <a:effectLst/>
                <a:latin typeface="微软雅黑" panose="020B0503020204020204" charset="-122"/>
                <a:ea typeface="微软雅黑" panose="020B0503020204020204" charset="-122"/>
                <a:cs typeface="微软雅黑" panose="020B0503020204020204" charset="-122"/>
                <a:sym typeface="微软雅黑" panose="020B0503020204020204" charset="-122"/>
              </a:rPr>
              <a:t>深圳市房地产中介企业二手房开单量（网签）</a:t>
            </a:r>
            <a:endParaRPr lang="zh-CN" altLang="zh-CN" sz="1000" b="1" i="0" u="none" strike="noStrike" kern="1200" baseline="0" dirty="0" smtClean="0">
              <a:solidFill>
                <a:schemeClr val="accent5">
                  <a:lumMod val="75000"/>
                </a:schemeClr>
              </a:solidFill>
              <a:effectLst/>
              <a:latin typeface="微软雅黑" panose="020B0503020204020204" charset="-122"/>
              <a:ea typeface="微软雅黑" panose="020B0503020204020204" charset="-122"/>
              <a:cs typeface="微软雅黑" panose="020B0503020204020204" charset="-122"/>
              <a:sym typeface="微软雅黑" panose="020B0503020204020204" charset="-122"/>
            </a:endParaRPr>
          </a:p>
        </c:rich>
      </c:tx>
      <c:layout>
        <c:manualLayout>
          <c:xMode val="edge"/>
          <c:yMode val="edge"/>
          <c:x val="0.257593721317886"/>
          <c:y val="0.00769962028269829"/>
        </c:manualLayout>
      </c:layout>
      <c:overlay val="0"/>
    </c:title>
    <c:autoTitleDeleted val="0"/>
    <c:plotArea>
      <c:layout>
        <c:manualLayout>
          <c:layoutTarget val="inner"/>
          <c:xMode val="edge"/>
          <c:yMode val="edge"/>
          <c:x val="0.130184804928131"/>
          <c:y val="0.171946192232588"/>
          <c:w val="0.857221081451061"/>
          <c:h val="0.695443697114342"/>
        </c:manualLayout>
      </c:layout>
      <c:lineChart>
        <c:grouping val="standard"/>
        <c:varyColors val="0"/>
        <c:ser>
          <c:idx val="0"/>
          <c:order val="0"/>
          <c:spPr>
            <a:ln w="28575" cap="rnd" cmpd="sng" algn="ctr">
              <a:solidFill>
                <a:schemeClr val="accent5">
                  <a:lumMod val="75000"/>
                </a:schemeClr>
              </a:solidFill>
              <a:prstDash val="solid"/>
              <a:round/>
            </a:ln>
            <a:effectLst>
              <a:outerShdw blurRad="50800" dist="38100" dir="2700000" algn="tl" rotWithShape="0">
                <a:prstClr val="black">
                  <a:alpha val="40000"/>
                </a:prstClr>
              </a:outerShdw>
            </a:effectLst>
          </c:spPr>
          <c:marker>
            <c:symbol val="none"/>
          </c:marker>
          <c:dLbls>
            <c:delete val="1"/>
          </c:dLbls>
          <c:cat>
            <c:strRef>
              <c:f>Sheet1!$A$1:$H$1</c:f>
              <c:strCache>
                <c:ptCount val="8"/>
                <c:pt idx="0">
                  <c:v>2020W15</c:v>
                </c:pt>
                <c:pt idx="1">
                  <c:v>2020W16</c:v>
                </c:pt>
                <c:pt idx="2">
                  <c:v>2020W17</c:v>
                </c:pt>
                <c:pt idx="3">
                  <c:v>2020W18</c:v>
                </c:pt>
                <c:pt idx="4">
                  <c:v>2020W19</c:v>
                </c:pt>
                <c:pt idx="5">
                  <c:v>2020W20</c:v>
                </c:pt>
                <c:pt idx="6">
                  <c:v>2020W21</c:v>
                </c:pt>
                <c:pt idx="7">
                  <c:v>2020W22</c:v>
                </c:pt>
              </c:strCache>
            </c:strRef>
          </c:cat>
          <c:val>
            <c:numRef>
              <c:f>Sheet1!$A$2:$H$2</c:f>
              <c:numCache>
                <c:formatCode>General</c:formatCode>
                <c:ptCount val="8"/>
                <c:pt idx="0">
                  <c:v>2418</c:v>
                </c:pt>
                <c:pt idx="1">
                  <c:v>5628</c:v>
                </c:pt>
                <c:pt idx="2">
                  <c:v>3727</c:v>
                </c:pt>
                <c:pt idx="3">
                  <c:v>2652</c:v>
                </c:pt>
                <c:pt idx="4">
                  <c:v>2504</c:v>
                </c:pt>
                <c:pt idx="5">
                  <c:v>2003</c:v>
                </c:pt>
                <c:pt idx="6">
                  <c:v>2208</c:v>
                </c:pt>
                <c:pt idx="7">
                  <c:v>2585</c:v>
                </c:pt>
              </c:numCache>
            </c:numRef>
          </c:val>
          <c:smooth val="0"/>
        </c:ser>
        <c:dLbls>
          <c:showLegendKey val="0"/>
          <c:showVal val="0"/>
          <c:showCatName val="0"/>
          <c:showSerName val="0"/>
          <c:showPercent val="0"/>
          <c:showBubbleSize val="0"/>
        </c:dLbls>
        <c:marker val="0"/>
        <c:smooth val="0"/>
        <c:axId val="201541888"/>
        <c:axId val="201551872"/>
      </c:lineChart>
      <c:catAx>
        <c:axId val="20154188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p>
        </c:txPr>
        <c:crossAx val="201551872"/>
        <c:crosses val="autoZero"/>
        <c:auto val="1"/>
        <c:lblAlgn val="ctr"/>
        <c:lblOffset val="100"/>
        <c:noMultiLvlLbl val="0"/>
      </c:catAx>
      <c:valAx>
        <c:axId val="201551872"/>
        <c:scaling>
          <c:orientation val="minMax"/>
          <c:max val="5700"/>
          <c:min val="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微软雅黑" panose="020B0503020204020204" charset="-122"/>
                <a:ea typeface="微软雅黑" panose="020B0503020204020204" charset="-122"/>
                <a:cs typeface="+mn-cs"/>
              </a:defRPr>
            </a:pPr>
          </a:p>
        </c:txPr>
        <c:crossAx val="201541888"/>
        <c:crosses val="autoZero"/>
        <c:crossBetween val="between"/>
        <c:majorUnit val="1000"/>
      </c:valAx>
    </c:plotArea>
    <c:plotVisOnly val="1"/>
    <c:dispBlanksAs val="gap"/>
    <c:showDLblsOverMax val="0"/>
  </c:chart>
  <c:txPr>
    <a:bodyPr/>
    <a:lstStyle/>
    <a:p>
      <a:pPr>
        <a:defRPr lang="zh-CN" sz="1800"/>
      </a:pP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0.04147</cdr:y>
    </cdr:from>
    <cdr:to>
      <cdr:x>0.18954</cdr:x>
      <cdr:y>0.13892</cdr:y>
    </cdr:to>
    <cdr:sp>
      <cdr:nvSpPr>
        <cdr:cNvPr id="2" name="矩形 1"/>
        <cdr:cNvSpPr/>
      </cdr:nvSpPr>
      <cdr:spPr xmlns:a="http://schemas.openxmlformats.org/drawingml/2006/main">
        <a:xfrm xmlns:a="http://schemas.openxmlformats.org/drawingml/2006/main">
          <a:off x="0" y="126902"/>
          <a:ext cx="649922" cy="298211"/>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900" dirty="0" smtClean="0">
              <a:latin typeface="微软雅黑" panose="020B0503020204020204" charset="-122"/>
              <a:ea typeface="微软雅黑" panose="020B0503020204020204" charset="-122"/>
            </a:rPr>
            <a:t>单位：套</a:t>
          </a:r>
          <a:endParaRPr lang="zh-CN" altLang="en-US" sz="900" dirty="0">
            <a:latin typeface="微软雅黑" panose="020B0503020204020204" charset="-122"/>
            <a:ea typeface="微软雅黑" panose="020B0503020204020204" charset="-122"/>
          </a:endParaRP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2020-06-02T03:16:26Z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