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60" w:lineRule="exact"/>
        <w:jc w:val="center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bookmarkStart w:id="9" w:name="_GoBack"/>
      <w:r>
        <w:rPr>
          <w:rFonts w:hint="default" w:ascii="黑体" w:hAnsi="黑体" w:eastAsia="黑体" w:cs="宋体"/>
          <w:b/>
          <w:bCs/>
          <w:color w:val="000000"/>
          <w:sz w:val="44"/>
          <w:szCs w:val="44"/>
          <w:lang w:val="en-US" w:eastAsia="zh-CN"/>
        </w:rPr>
        <w:t>2020年楼市</w:t>
      </w:r>
      <w:r>
        <w:rPr>
          <w:rFonts w:hint="eastAsia" w:ascii="黑体" w:hAnsi="黑体" w:eastAsia="黑体" w:cs="宋体"/>
          <w:b/>
          <w:bCs/>
          <w:color w:val="000000"/>
          <w:sz w:val="44"/>
          <w:szCs w:val="44"/>
          <w:lang w:val="en-US" w:eastAsia="zh-CN"/>
        </w:rPr>
        <w:t>的预判</w:t>
      </w: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3"/>
        <w:jc w:val="both"/>
        <w:textAlignment w:val="auto"/>
        <w:outlineLvl w:val="1"/>
        <w:rPr>
          <w:rFonts w:hint="default" w:ascii="仿宋" w:hAnsi="仿宋" w:eastAsia="仿宋"/>
          <w:b/>
          <w:color w:val="auto"/>
          <w:position w:val="0"/>
          <w:sz w:val="32"/>
          <w:szCs w:val="32"/>
        </w:rPr>
      </w:pPr>
      <w:bookmarkStart w:id="0" w:name="_Toc27302"/>
    </w:p>
    <w:bookmarkEnd w:id="0"/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30"/>
        <w:jc w:val="both"/>
        <w:textAlignment w:val="auto"/>
        <w:outlineLvl w:val="1"/>
        <w:rPr>
          <w:rFonts w:hint="default" w:ascii="仿宋" w:hAnsi="仿宋" w:eastAsia="仿宋"/>
          <w:b/>
          <w:color w:val="auto"/>
          <w:position w:val="0"/>
          <w:sz w:val="32"/>
          <w:szCs w:val="32"/>
        </w:rPr>
      </w:pPr>
      <w:bookmarkStart w:id="1" w:name="_Toc31998"/>
      <w:r>
        <w:rPr>
          <w:rFonts w:hint="eastAsia" w:ascii="仿宋" w:hAnsi="仿宋" w:eastAsia="仿宋"/>
          <w:b/>
          <w:color w:val="auto"/>
          <w:position w:val="0"/>
          <w:sz w:val="32"/>
          <w:szCs w:val="32"/>
          <w:lang w:eastAsia="zh-CN"/>
        </w:rPr>
        <w:t>一</w:t>
      </w:r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、宏观经济背景的变化</w:t>
      </w:r>
      <w:bookmarkEnd w:id="1"/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30"/>
        <w:jc w:val="both"/>
        <w:textAlignment w:val="auto"/>
        <w:outlineLvl w:val="2"/>
        <w:rPr>
          <w:rFonts w:hint="default" w:ascii="仿宋" w:hAnsi="仿宋" w:eastAsia="仿宋"/>
          <w:b/>
          <w:color w:val="auto"/>
          <w:position w:val="0"/>
          <w:sz w:val="32"/>
          <w:szCs w:val="32"/>
        </w:rPr>
      </w:pPr>
      <w:bookmarkStart w:id="2" w:name="_Toc11484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（一）国际宏观形式复杂多变</w:t>
      </w:r>
      <w:bookmarkEnd w:id="2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both"/>
        <w:textAlignment w:val="auto"/>
        <w:rPr>
          <w:rFonts w:hint="default" w:ascii="仿宋" w:hAnsi="仿宋" w:eastAsia="仿宋"/>
          <w:color w:val="000000"/>
          <w:position w:val="0"/>
          <w:sz w:val="32"/>
          <w:szCs w:val="32"/>
        </w:rPr>
      </w:pP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在经历了2016年上一轮楼市“疯涨”之后，自2016年10月份延续至今的全国房地产调控，可谓是史上最严，无论是从调控的时空（调控周期与调控地域）来看，还是从调控政策的维度（长效治理机制）来看，调控的力度史无前例。而这期间恰逢中国宏观经济步入产业转型</w:t>
      </w:r>
      <w:r>
        <w:rPr>
          <w:rFonts w:hint="eastAsia" w:ascii="仿宋" w:hAnsi="仿宋" w:eastAsia="仿宋"/>
          <w:color w:val="000000"/>
          <w:position w:val="0"/>
          <w:sz w:val="32"/>
          <w:szCs w:val="32"/>
          <w:lang w:eastAsia="zh-CN"/>
        </w:rPr>
        <w:t>与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政治体制改革深水区，房地产作为</w:t>
      </w:r>
      <w:r>
        <w:rPr>
          <w:rFonts w:hint="eastAsia" w:ascii="仿宋" w:hAnsi="仿宋" w:eastAsia="仿宋"/>
          <w:color w:val="000000"/>
          <w:position w:val="0"/>
          <w:sz w:val="32"/>
          <w:szCs w:val="32"/>
          <w:lang w:eastAsia="zh-CN"/>
        </w:rPr>
        <w:t>过去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主要拉动经济增长的重要手段，已逐步被弱化，“去杠杆化”</w:t>
      </w:r>
      <w:r>
        <w:rPr>
          <w:rFonts w:hint="eastAsia" w:ascii="仿宋" w:hAnsi="仿宋" w:eastAsia="仿宋"/>
          <w:color w:val="000000"/>
          <w:position w:val="0"/>
          <w:sz w:val="32"/>
          <w:szCs w:val="32"/>
          <w:lang w:eastAsia="zh-CN"/>
        </w:rPr>
        <w:t>显然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成为了近年来国家宏观产业结构调整的主要风向。以深圳为例，作为国家改革开发先行示范区，在可预见的未来，随着深圳市住房供给结构改革的深层次推动，未来深圳住房的供给主体将由以往的市场逐步让步给政府。此外，随着我国地缘政治风险以及国际经贸摩擦风险的加剧与升级，还进一步加剧了我国未来经济发展的不确定性。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43" w:right="0" w:firstLine="0"/>
        <w:jc w:val="both"/>
        <w:textAlignment w:val="auto"/>
        <w:outlineLvl w:val="2"/>
        <w:rPr>
          <w:rFonts w:hint="default" w:ascii="仿宋" w:hAnsi="仿宋" w:eastAsia="仿宋"/>
          <w:b w:val="0"/>
          <w:color w:val="auto"/>
          <w:position w:val="0"/>
          <w:sz w:val="32"/>
          <w:szCs w:val="32"/>
        </w:rPr>
      </w:pPr>
      <w:bookmarkStart w:id="3" w:name="_Toc11228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（二）“稳”字当头</w:t>
      </w:r>
      <w:bookmarkEnd w:id="3"/>
    </w:p>
    <w:p>
      <w:pPr>
        <w:pageBreakBefore w:val="0"/>
        <w:widowControl w:val="0"/>
        <w:numPr>
          <w:ilvl w:val="0"/>
          <w:numId w:val="0"/>
        </w:numPr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left"/>
        <w:textAlignment w:val="auto"/>
        <w:rPr>
          <w:rFonts w:hint="default" w:ascii="仿宋" w:hAnsi="仿宋" w:eastAsia="仿宋"/>
          <w:color w:val="000000"/>
          <w:position w:val="0"/>
          <w:sz w:val="32"/>
          <w:szCs w:val="32"/>
        </w:rPr>
      </w:pP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根据前不久召开的中央经济工作会议要求，“要坚持房子是用来住的、不是用来炒的定位，全面落实因城施策，稳地价、稳房价、稳预期的长效管理调控机制，促进房地产市场平稳健康发展。”可以看出，“房住不炒”依然是当下楼市调控的主基调。</w:t>
      </w:r>
    </w:p>
    <w:p>
      <w:pPr>
        <w:pageBreakBefore w:val="0"/>
        <w:widowControl w:val="0"/>
        <w:numPr>
          <w:ilvl w:val="0"/>
          <w:numId w:val="0"/>
        </w:numPr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left"/>
        <w:textAlignment w:val="auto"/>
        <w:rPr>
          <w:rFonts w:hint="default" w:ascii="仿宋" w:hAnsi="仿宋" w:eastAsia="仿宋"/>
          <w:color w:val="000000"/>
          <w:position w:val="0"/>
          <w:sz w:val="32"/>
          <w:szCs w:val="32"/>
        </w:rPr>
      </w:pP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但同时我们也应该看到，此次中央经济工作会议提出了“三稳”（稳地价、稳房价、稳预期）要求，将房地产市场的平稳健康发展提到了重中之重的地位，而事实上，所谓的平稳健康，指的就是房地产市场不要大起大落，而楼市的维稳关键点就在于供给与成交的持续平稳。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30"/>
        <w:jc w:val="both"/>
        <w:textAlignment w:val="auto"/>
        <w:outlineLvl w:val="2"/>
        <w:rPr>
          <w:rFonts w:hint="default" w:ascii="仿宋" w:hAnsi="仿宋" w:eastAsia="仿宋"/>
          <w:b/>
          <w:color w:val="auto"/>
          <w:position w:val="0"/>
          <w:sz w:val="32"/>
          <w:szCs w:val="32"/>
        </w:rPr>
      </w:pPr>
      <w:bookmarkStart w:id="4" w:name="_Toc12674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（三）宽松货币政策的“性价比”在降低</w:t>
      </w:r>
      <w:bookmarkEnd w:id="4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both"/>
        <w:textAlignment w:val="auto"/>
        <w:rPr>
          <w:rFonts w:hint="default" w:ascii="仿宋" w:hAnsi="仿宋" w:eastAsia="仿宋"/>
          <w:color w:val="auto"/>
          <w:position w:val="0"/>
          <w:sz w:val="32"/>
          <w:szCs w:val="32"/>
        </w:rPr>
      </w:pP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总体而言，过去十年间，中国经济的高歌猛进在一定程度上也与M2（广义货币）发行量的扩张有一定关系。但此前M2的宽松政策对于经济的实际增长拉动作用非常有限，特别是2015年那一轮全方位的降准降息政策，已证明对我国宏观经济拉动效应越来越弱。这也就是为什么自2016年以后，央行在面对流动性（所谓“钱荒”）困难的时候，不敢轻言降息，而只是不间断地使用“MLF”或定向降准等货币政策工具，谨慎开展货币调控的原因所在。</w:t>
      </w: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30"/>
        <w:jc w:val="both"/>
        <w:textAlignment w:val="auto"/>
        <w:outlineLvl w:val="1"/>
        <w:rPr>
          <w:rFonts w:hint="default" w:ascii="仿宋" w:hAnsi="仿宋" w:eastAsia="仿宋"/>
          <w:b w:val="0"/>
          <w:color w:val="auto"/>
          <w:position w:val="0"/>
          <w:sz w:val="32"/>
          <w:szCs w:val="32"/>
        </w:rPr>
      </w:pPr>
      <w:bookmarkStart w:id="5" w:name="_Toc19791"/>
      <w:r>
        <w:rPr>
          <w:rFonts w:hint="eastAsia" w:ascii="仿宋" w:hAnsi="仿宋" w:eastAsia="仿宋"/>
          <w:b/>
          <w:color w:val="auto"/>
          <w:position w:val="0"/>
          <w:sz w:val="32"/>
          <w:szCs w:val="32"/>
          <w:lang w:eastAsia="zh-CN"/>
        </w:rPr>
        <w:t>二</w:t>
      </w:r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、2020年楼市判断</w:t>
      </w:r>
      <w:bookmarkEnd w:id="5"/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43" w:right="0" w:firstLine="0"/>
        <w:jc w:val="both"/>
        <w:textAlignment w:val="auto"/>
        <w:outlineLvl w:val="2"/>
        <w:rPr>
          <w:rFonts w:hint="eastAsia" w:ascii="仿宋" w:hAnsi="仿宋" w:eastAsia="仿宋"/>
          <w:b w:val="0"/>
          <w:color w:val="auto"/>
          <w:position w:val="0"/>
          <w:sz w:val="32"/>
          <w:szCs w:val="32"/>
          <w:lang w:eastAsia="zh-CN"/>
        </w:rPr>
      </w:pPr>
      <w:bookmarkStart w:id="6" w:name="_Toc5530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（一）LPR结合定向降准依然是未来常态化的操作</w:t>
      </w:r>
      <w:bookmarkEnd w:id="6"/>
      <w:r>
        <w:rPr>
          <w:rFonts w:hint="eastAsia" w:ascii="仿宋" w:hAnsi="仿宋" w:eastAsia="仿宋"/>
          <w:b/>
          <w:color w:val="auto"/>
          <w:position w:val="0"/>
          <w:sz w:val="32"/>
          <w:szCs w:val="32"/>
          <w:lang w:eastAsia="zh-CN"/>
        </w:rPr>
        <w:t>方式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left"/>
        <w:textAlignment w:val="auto"/>
        <w:rPr>
          <w:rFonts w:hint="default" w:ascii="仿宋" w:hAnsi="仿宋" w:eastAsia="仿宋"/>
          <w:color w:val="auto"/>
          <w:position w:val="0"/>
          <w:sz w:val="32"/>
          <w:szCs w:val="32"/>
        </w:rPr>
      </w:pP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自2019年10月1日起，正式实施的“LPR”（贷款基础利率，又名贷款市场报价利率，是商业银行对其最优质客户执行的贷款利率，其他贷款利率可在此基础上加减点生成。）将进一步促进我国利率市场化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改革的进程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。同时，也为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央行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开展逆周期调控和操作提供了更多可选工具。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both"/>
        <w:textAlignment w:val="auto"/>
        <w:rPr>
          <w:rFonts w:hint="default" w:ascii="仿宋" w:hAnsi="仿宋" w:eastAsia="仿宋"/>
          <w:color w:val="auto"/>
          <w:position w:val="0"/>
          <w:sz w:val="32"/>
          <w:szCs w:val="32"/>
        </w:rPr>
      </w:pP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因此，在可预见的未来，我国宏观经济基本面尚不足以支撑实施大范围的降息操作。2020年，我国货币政策走向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大概率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依然以稳健的方向为主，即在LPR定价的基础上，结合降准和MLF等货币工具适度开展逆周期操作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，而央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行决定于2020年1月6日下调金融机构存款准备金率0.5个百分点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，（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不含财务公司、金融租赁公司和汽车金融公司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）的消息，就进一步验证了深房中协的判断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。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30"/>
        <w:jc w:val="both"/>
        <w:textAlignment w:val="auto"/>
        <w:outlineLvl w:val="2"/>
        <w:rPr>
          <w:rFonts w:hint="default" w:ascii="仿宋" w:hAnsi="仿宋" w:eastAsia="仿宋"/>
          <w:b/>
          <w:color w:val="auto"/>
          <w:position w:val="0"/>
          <w:sz w:val="32"/>
          <w:szCs w:val="32"/>
        </w:rPr>
      </w:pPr>
      <w:bookmarkStart w:id="7" w:name="_Toc17367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（二）区域分化基础上的项目分化</w:t>
      </w:r>
      <w:bookmarkEnd w:id="7"/>
    </w:p>
    <w:p>
      <w:pPr>
        <w:pageBreakBefore w:val="0"/>
        <w:widowControl w:val="0"/>
        <w:numPr>
          <w:ilvl w:val="0"/>
          <w:numId w:val="0"/>
        </w:numPr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left"/>
        <w:textAlignment w:val="auto"/>
        <w:rPr>
          <w:rFonts w:hint="default" w:ascii="仿宋" w:hAnsi="仿宋" w:eastAsia="仿宋"/>
          <w:color w:val="000000"/>
          <w:position w:val="0"/>
          <w:sz w:val="32"/>
          <w:szCs w:val="32"/>
        </w:rPr>
      </w:pP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一方面，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在分类调控这个原则指导下，各地方政府对于楼市调控的把控尺度具有一定的独立自主性。因此，随着楼市区域分化的不断加剧，我们将看到未来还会有更多的城市（特别是二、三线城市）通过“人才政策”或“户籍政策”等方式，变相放松调控，而这也将会成为2020年全国楼市的新常态。</w:t>
      </w:r>
    </w:p>
    <w:p>
      <w:pPr>
        <w:pageBreakBefore w:val="0"/>
        <w:widowControl w:val="0"/>
        <w:numPr>
          <w:ilvl w:val="0"/>
          <w:numId w:val="0"/>
        </w:numPr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left"/>
        <w:textAlignment w:val="auto"/>
        <w:rPr>
          <w:rFonts w:hint="default" w:ascii="仿宋" w:hAnsi="仿宋" w:eastAsia="仿宋"/>
          <w:color w:val="000000"/>
          <w:position w:val="0"/>
          <w:sz w:val="32"/>
          <w:szCs w:val="32"/>
        </w:rPr>
      </w:pP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另一方面，分化的趋势除了在横向区域间呈现，在纵向项目性质上也会呈现。这主要体现在商品住宅与商业项目、产业办公项目之间的差异，特别是未来</w:t>
      </w:r>
      <w:r>
        <w:rPr>
          <w:rFonts w:hint="eastAsia" w:ascii="仿宋" w:hAnsi="仿宋" w:eastAsia="仿宋"/>
          <w:color w:val="000000"/>
          <w:position w:val="0"/>
          <w:sz w:val="32"/>
          <w:szCs w:val="32"/>
          <w:lang w:eastAsia="zh-CN"/>
        </w:rPr>
        <w:t>随着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商业项目与产业办公项目</w:t>
      </w:r>
      <w:r>
        <w:rPr>
          <w:rFonts w:hint="eastAsia" w:ascii="仿宋" w:hAnsi="仿宋" w:eastAsia="仿宋"/>
          <w:color w:val="000000"/>
          <w:position w:val="0"/>
          <w:sz w:val="32"/>
          <w:szCs w:val="32"/>
          <w:lang w:eastAsia="zh-CN"/>
        </w:rPr>
        <w:t>的</w:t>
      </w:r>
      <w:r>
        <w:rPr>
          <w:rFonts w:hint="default" w:ascii="仿宋" w:hAnsi="仿宋" w:eastAsia="仿宋"/>
          <w:color w:val="000000"/>
          <w:position w:val="0"/>
          <w:sz w:val="32"/>
          <w:szCs w:val="32"/>
        </w:rPr>
        <w:t>不断供应入市，而有效需求却并未跟上。因此随着我国宏观经济增长的整体放缓，商业与产业办公项目供大于求的结构性问题将会逐步突显，这类项目的空置率可能在未来还将会有所升高。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643" w:right="0" w:firstLine="0"/>
        <w:jc w:val="both"/>
        <w:textAlignment w:val="auto"/>
        <w:outlineLvl w:val="2"/>
        <w:rPr>
          <w:rFonts w:hint="default" w:ascii="仿宋" w:hAnsi="仿宋" w:eastAsia="仿宋"/>
          <w:b w:val="0"/>
          <w:color w:val="auto"/>
          <w:position w:val="0"/>
          <w:sz w:val="32"/>
          <w:szCs w:val="32"/>
        </w:rPr>
      </w:pPr>
      <w:bookmarkStart w:id="8" w:name="_Toc21813"/>
      <w:r>
        <w:rPr>
          <w:rFonts w:hint="default" w:ascii="仿宋" w:hAnsi="仿宋" w:eastAsia="仿宋"/>
          <w:b/>
          <w:color w:val="auto"/>
          <w:position w:val="0"/>
          <w:sz w:val="32"/>
          <w:szCs w:val="32"/>
        </w:rPr>
        <w:t>（三）深圳2020年房地产成交量恐难维持2019年行情</w:t>
      </w:r>
      <w:bookmarkEnd w:id="8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 w:firstLine="640"/>
        <w:jc w:val="both"/>
        <w:textAlignment w:val="auto"/>
        <w:rPr>
          <w:rFonts w:hint="default" w:ascii="仿宋" w:hAnsi="仿宋" w:eastAsia="仿宋"/>
          <w:color w:val="auto"/>
          <w:position w:val="0"/>
          <w:sz w:val="32"/>
          <w:szCs w:val="32"/>
        </w:rPr>
      </w:pP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总体而言，鉴于目前我国宏观经济基本面，以及产业转型的大背景，尚不足以支撑房地产市场的大涨行情。而深圳2019年得益于利好的规划与政策频出，属于特殊市场环境，不具备代表性。因而在2020年，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在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深圳严厉的限购政策没有松动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eastAsia="zh-CN"/>
        </w:rPr>
        <w:t>，以及后续利好政策如不能像</w:t>
      </w:r>
      <w:r>
        <w:rPr>
          <w:rFonts w:hint="eastAsia" w:ascii="仿宋" w:hAnsi="仿宋" w:eastAsia="仿宋"/>
          <w:color w:val="auto"/>
          <w:position w:val="0"/>
          <w:sz w:val="32"/>
          <w:szCs w:val="32"/>
          <w:lang w:val="en-US" w:eastAsia="zh-CN"/>
        </w:rPr>
        <w:t>2019年那样密集发布的前提下，深圳</w:t>
      </w:r>
      <w:r>
        <w:rPr>
          <w:rFonts w:hint="default" w:ascii="仿宋" w:hAnsi="仿宋" w:eastAsia="仿宋"/>
          <w:color w:val="auto"/>
          <w:position w:val="0"/>
          <w:sz w:val="32"/>
          <w:szCs w:val="32"/>
        </w:rPr>
        <w:t>楼市成交量或将会回归至2017年与2018年的平均水平。</w:t>
      </w:r>
    </w:p>
    <w:p>
      <w:pPr>
        <w:rPr>
          <w:rFonts w:ascii="仿宋" w:hAnsi="仿宋" w:eastAsia="仿宋" w:cs="仿宋"/>
          <w:color w:val="000000"/>
          <w:sz w:val="32"/>
          <w:szCs w:val="32"/>
        </w:rPr>
      </w:pPr>
    </w:p>
    <w:bookmarkEnd w:id="9"/>
    <w:sectPr>
      <w:pgSz w:w="11906" w:h="16838"/>
      <w:pgMar w:top="1701" w:right="1701" w:bottom="1588" w:left="1701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271C3A"/>
    <w:rsid w:val="00011B79"/>
    <w:rsid w:val="000158CB"/>
    <w:rsid w:val="000308AC"/>
    <w:rsid w:val="00030D82"/>
    <w:rsid w:val="0004404A"/>
    <w:rsid w:val="000B695C"/>
    <w:rsid w:val="000D1E4B"/>
    <w:rsid w:val="000E4CCF"/>
    <w:rsid w:val="000F0197"/>
    <w:rsid w:val="000F4389"/>
    <w:rsid w:val="000F489A"/>
    <w:rsid w:val="000F6888"/>
    <w:rsid w:val="00134C87"/>
    <w:rsid w:val="00142E3C"/>
    <w:rsid w:val="001636D5"/>
    <w:rsid w:val="00167743"/>
    <w:rsid w:val="00193382"/>
    <w:rsid w:val="001C3CF5"/>
    <w:rsid w:val="001D0A26"/>
    <w:rsid w:val="001E14E9"/>
    <w:rsid w:val="001F506E"/>
    <w:rsid w:val="002300A7"/>
    <w:rsid w:val="00231AAA"/>
    <w:rsid w:val="002478D1"/>
    <w:rsid w:val="00271C3A"/>
    <w:rsid w:val="002B13FD"/>
    <w:rsid w:val="002D3D00"/>
    <w:rsid w:val="002D45D9"/>
    <w:rsid w:val="002D5A14"/>
    <w:rsid w:val="002D6F9E"/>
    <w:rsid w:val="00300E15"/>
    <w:rsid w:val="00332637"/>
    <w:rsid w:val="00343FEF"/>
    <w:rsid w:val="0034648C"/>
    <w:rsid w:val="00346516"/>
    <w:rsid w:val="00371AFF"/>
    <w:rsid w:val="003C0C17"/>
    <w:rsid w:val="003E5D0F"/>
    <w:rsid w:val="003F524B"/>
    <w:rsid w:val="00405ABA"/>
    <w:rsid w:val="00432F06"/>
    <w:rsid w:val="00436526"/>
    <w:rsid w:val="00462B03"/>
    <w:rsid w:val="00470B60"/>
    <w:rsid w:val="00477AB2"/>
    <w:rsid w:val="004C45B2"/>
    <w:rsid w:val="004E6EB2"/>
    <w:rsid w:val="005123B5"/>
    <w:rsid w:val="005261CE"/>
    <w:rsid w:val="00532E85"/>
    <w:rsid w:val="00567EED"/>
    <w:rsid w:val="005861A1"/>
    <w:rsid w:val="00587D47"/>
    <w:rsid w:val="00591213"/>
    <w:rsid w:val="00597624"/>
    <w:rsid w:val="005A4B90"/>
    <w:rsid w:val="005C385C"/>
    <w:rsid w:val="005D0835"/>
    <w:rsid w:val="005E3491"/>
    <w:rsid w:val="005F61E1"/>
    <w:rsid w:val="00606153"/>
    <w:rsid w:val="00614891"/>
    <w:rsid w:val="006265A6"/>
    <w:rsid w:val="00627278"/>
    <w:rsid w:val="006274E0"/>
    <w:rsid w:val="00631BEF"/>
    <w:rsid w:val="006323F4"/>
    <w:rsid w:val="006415D8"/>
    <w:rsid w:val="00666021"/>
    <w:rsid w:val="00692539"/>
    <w:rsid w:val="006A0660"/>
    <w:rsid w:val="006C0566"/>
    <w:rsid w:val="006D0442"/>
    <w:rsid w:val="006D0D2B"/>
    <w:rsid w:val="006E14C6"/>
    <w:rsid w:val="006E778C"/>
    <w:rsid w:val="006F1752"/>
    <w:rsid w:val="006F51AE"/>
    <w:rsid w:val="00736831"/>
    <w:rsid w:val="00746B73"/>
    <w:rsid w:val="00784C3D"/>
    <w:rsid w:val="007B7706"/>
    <w:rsid w:val="007C4CDF"/>
    <w:rsid w:val="007F0238"/>
    <w:rsid w:val="007F60FE"/>
    <w:rsid w:val="00851769"/>
    <w:rsid w:val="00877E1E"/>
    <w:rsid w:val="00881EC2"/>
    <w:rsid w:val="008A2C9B"/>
    <w:rsid w:val="008C7C33"/>
    <w:rsid w:val="008C7D60"/>
    <w:rsid w:val="00903586"/>
    <w:rsid w:val="00907ECD"/>
    <w:rsid w:val="00915447"/>
    <w:rsid w:val="00927557"/>
    <w:rsid w:val="009820EE"/>
    <w:rsid w:val="009914A5"/>
    <w:rsid w:val="009C131E"/>
    <w:rsid w:val="009D06CC"/>
    <w:rsid w:val="009F5FF4"/>
    <w:rsid w:val="00A1166B"/>
    <w:rsid w:val="00A135C3"/>
    <w:rsid w:val="00A21506"/>
    <w:rsid w:val="00A30547"/>
    <w:rsid w:val="00A45599"/>
    <w:rsid w:val="00A46010"/>
    <w:rsid w:val="00A554DD"/>
    <w:rsid w:val="00A57C56"/>
    <w:rsid w:val="00A73DFC"/>
    <w:rsid w:val="00A779CD"/>
    <w:rsid w:val="00A9320E"/>
    <w:rsid w:val="00A966EE"/>
    <w:rsid w:val="00AA2B9A"/>
    <w:rsid w:val="00AA512E"/>
    <w:rsid w:val="00AC7B69"/>
    <w:rsid w:val="00AE1F67"/>
    <w:rsid w:val="00AF1B82"/>
    <w:rsid w:val="00AF7C74"/>
    <w:rsid w:val="00B256B5"/>
    <w:rsid w:val="00B26DE3"/>
    <w:rsid w:val="00B46AA8"/>
    <w:rsid w:val="00B500A1"/>
    <w:rsid w:val="00B672E8"/>
    <w:rsid w:val="00BD2F55"/>
    <w:rsid w:val="00BE478C"/>
    <w:rsid w:val="00BF22B6"/>
    <w:rsid w:val="00BF2C0B"/>
    <w:rsid w:val="00C04B61"/>
    <w:rsid w:val="00C14F2A"/>
    <w:rsid w:val="00C5619F"/>
    <w:rsid w:val="00C8064C"/>
    <w:rsid w:val="00C9630D"/>
    <w:rsid w:val="00CA34A3"/>
    <w:rsid w:val="00CB3414"/>
    <w:rsid w:val="00CC19C2"/>
    <w:rsid w:val="00CC264D"/>
    <w:rsid w:val="00CF09D7"/>
    <w:rsid w:val="00D428D0"/>
    <w:rsid w:val="00D51F5C"/>
    <w:rsid w:val="00D60673"/>
    <w:rsid w:val="00D62FA9"/>
    <w:rsid w:val="00D84D02"/>
    <w:rsid w:val="00DA4068"/>
    <w:rsid w:val="00DF1E8E"/>
    <w:rsid w:val="00E07924"/>
    <w:rsid w:val="00E22985"/>
    <w:rsid w:val="00E403DA"/>
    <w:rsid w:val="00E446DE"/>
    <w:rsid w:val="00E52583"/>
    <w:rsid w:val="00E54B01"/>
    <w:rsid w:val="00E66D1D"/>
    <w:rsid w:val="00E84735"/>
    <w:rsid w:val="00E9275F"/>
    <w:rsid w:val="00EB27A3"/>
    <w:rsid w:val="00ED4547"/>
    <w:rsid w:val="00F24885"/>
    <w:rsid w:val="00F511D2"/>
    <w:rsid w:val="00F74BFE"/>
    <w:rsid w:val="00FA7772"/>
    <w:rsid w:val="00FB1C8C"/>
    <w:rsid w:val="00FD6437"/>
    <w:rsid w:val="00FF1D13"/>
    <w:rsid w:val="01F4328A"/>
    <w:rsid w:val="031254A8"/>
    <w:rsid w:val="1639030B"/>
    <w:rsid w:val="204271A1"/>
    <w:rsid w:val="2E1C28E6"/>
    <w:rsid w:val="2FFF500C"/>
    <w:rsid w:val="38E21EE8"/>
    <w:rsid w:val="3F714F33"/>
    <w:rsid w:val="44F54952"/>
    <w:rsid w:val="519D48B2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6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6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18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37" w:semiHidden="0" w:name="Table Grid"/>
    <w:lsdException w:uiPriority="99" w:name="Table Theme"/>
    <w:lsdException w:qFormat="1" w:unhideWhenUsed="0" w:uiPriority="0" w:name="Placeholder Text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7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basedOn w:val="1"/>
    <w:next w:val="1"/>
    <w:qFormat/>
    <w:uiPriority w:val="8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basedOn w:val="1"/>
    <w:next w:val="1"/>
    <w:qFormat/>
    <w:uiPriority w:val="9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basedOn w:val="1"/>
    <w:next w:val="1"/>
    <w:qFormat/>
    <w:uiPriority w:val="1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11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12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13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14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15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unhideWhenUsed/>
    <w:qFormat/>
    <w:uiPriority w:val="32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unhideWhenUsed/>
    <w:qFormat/>
    <w:uiPriority w:val="3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unhideWhenUsed/>
    <w:qFormat/>
    <w:uiPriority w:val="35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2"/>
    <w:semiHidden/>
    <w:unhideWhenUsed/>
    <w:qFormat/>
    <w:uiPriority w:val="0"/>
    <w:rPr>
      <w:sz w:val="18"/>
      <w:szCs w:val="18"/>
    </w:rPr>
  </w:style>
  <w:style w:type="paragraph" w:styleId="16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next w:val="1"/>
    <w:unhideWhenUsed/>
    <w:qFormat/>
    <w:uiPriority w:val="28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unhideWhenUsed/>
    <w:qFormat/>
    <w:uiPriority w:val="31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16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unhideWhenUsed/>
    <w:qFormat/>
    <w:uiPriority w:val="33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unhideWhenUsed/>
    <w:qFormat/>
    <w:uiPriority w:val="29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unhideWhenUsed/>
    <w:qFormat/>
    <w:uiPriority w:val="36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Normal (Web)"/>
    <w:basedOn w:val="1"/>
    <w:unhideWhenUsed/>
    <w:qFormat/>
    <w:uiPriority w:val="99"/>
    <w:rPr>
      <w:rFonts w:ascii="宋体" w:hAnsi="宋体"/>
      <w:sz w:val="24"/>
      <w:szCs w:val="24"/>
    </w:rPr>
  </w:style>
  <w:style w:type="paragraph" w:styleId="25">
    <w:name w:val="Title"/>
    <w:qFormat/>
    <w:uiPriority w:val="6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table" w:styleId="27">
    <w:name w:val="Table Grid"/>
    <w:basedOn w:val="26"/>
    <w:qFormat/>
    <w:uiPriority w:val="37"/>
    <w:rPr>
      <w:rFonts w:ascii="宋体" w:hAnsi="宋体" w:eastAsia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qFormat/>
    <w:uiPriority w:val="22"/>
    <w:rPr>
      <w:b/>
      <w:w w:val="100"/>
      <w:sz w:val="21"/>
      <w:szCs w:val="21"/>
      <w:shd w:val="clear" w:color="auto" w:fill="auto"/>
    </w:rPr>
  </w:style>
  <w:style w:type="character" w:styleId="30">
    <w:name w:val="Emphasis"/>
    <w:qFormat/>
    <w:uiPriority w:val="18"/>
    <w:rPr>
      <w:i/>
      <w:w w:val="100"/>
      <w:sz w:val="21"/>
      <w:szCs w:val="21"/>
      <w:shd w:val="clear" w:color="auto" w:fill="auto"/>
    </w:rPr>
  </w:style>
  <w:style w:type="character" w:styleId="31">
    <w:name w:val="Hyperlink"/>
    <w:basedOn w:val="28"/>
    <w:semiHidden/>
    <w:unhideWhenUsed/>
    <w:qFormat/>
    <w:uiPriority w:val="99"/>
    <w:rPr>
      <w:color w:val="0000FF"/>
      <w:u w:val="single"/>
    </w:rPr>
  </w:style>
  <w:style w:type="paragraph" w:styleId="32">
    <w:name w:val="No Spacing"/>
    <w:qFormat/>
    <w:uiPriority w:val="5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customStyle="1" w:styleId="33">
    <w:name w:val="Subtle Emphasis"/>
    <w:qFormat/>
    <w:uiPriority w:val="17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4">
    <w:name w:val="Intense Emphasis"/>
    <w:qFormat/>
    <w:uiPriority w:val="19"/>
    <w:rPr>
      <w:i/>
      <w:color w:val="5B9BD5"/>
      <w:w w:val="100"/>
      <w:sz w:val="21"/>
      <w:szCs w:val="21"/>
      <w:shd w:val="clear" w:color="auto" w:fill="auto"/>
    </w:rPr>
  </w:style>
  <w:style w:type="paragraph" w:styleId="35">
    <w:name w:val="Quote"/>
    <w:qFormat/>
    <w:uiPriority w:val="21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styleId="36">
    <w:name w:val="Intense Quote"/>
    <w:qFormat/>
    <w:uiPriority w:val="22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character" w:customStyle="1" w:styleId="37">
    <w:name w:val="Subtle Reference"/>
    <w:qFormat/>
    <w:uiPriority w:val="23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Intense Reference"/>
    <w:qFormat/>
    <w:uiPriority w:val="24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Book Title"/>
    <w:qFormat/>
    <w:uiPriority w:val="25"/>
    <w:rPr>
      <w:b/>
      <w:i/>
      <w:w w:val="100"/>
      <w:sz w:val="21"/>
      <w:szCs w:val="21"/>
      <w:shd w:val="clear" w:color="auto" w:fill="auto"/>
    </w:rPr>
  </w:style>
  <w:style w:type="paragraph" w:styleId="40">
    <w:name w:val="List Paragraph"/>
    <w:qFormat/>
    <w:uiPriority w:val="34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41">
    <w:name w:val="TOC Heading"/>
    <w:unhideWhenUsed/>
    <w:qFormat/>
    <w:uiPriority w:val="27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42">
    <w:name w:val="批注框文本 Char"/>
    <w:basedOn w:val="28"/>
    <w:link w:val="15"/>
    <w:semiHidden/>
    <w:qFormat/>
    <w:uiPriority w:val="0"/>
    <w:rPr>
      <w:w w:val="100"/>
      <w:sz w:val="18"/>
      <w:szCs w:val="18"/>
      <w:shd w:val="clear" w:color="auto" w:fill="auto"/>
    </w:rPr>
  </w:style>
  <w:style w:type="character" w:styleId="43">
    <w:name w:val="Placeholder Text"/>
    <w:basedOn w:val="28"/>
    <w:semiHidden/>
    <w:qFormat/>
    <w:uiPriority w:val="0"/>
    <w:rPr>
      <w:color w:val="808080"/>
      <w:w w:val="100"/>
      <w:sz w:val="20"/>
      <w:szCs w:val="20"/>
      <w:shd w:val="clear" w:color="auto" w:fill="auto"/>
    </w:rPr>
  </w:style>
  <w:style w:type="character" w:customStyle="1" w:styleId="44">
    <w:name w:val="页眉 Char"/>
    <w:basedOn w:val="28"/>
    <w:link w:val="17"/>
    <w:qFormat/>
    <w:uiPriority w:val="99"/>
    <w:rPr>
      <w:sz w:val="18"/>
      <w:szCs w:val="18"/>
    </w:rPr>
  </w:style>
  <w:style w:type="character" w:customStyle="1" w:styleId="45">
    <w:name w:val="页脚 Char"/>
    <w:basedOn w:val="28"/>
    <w:link w:val="16"/>
    <w:qFormat/>
    <w:uiPriority w:val="99"/>
    <w:rPr>
      <w:sz w:val="18"/>
      <w:szCs w:val="18"/>
    </w:rPr>
  </w:style>
  <w:style w:type="character" w:customStyle="1" w:styleId="46">
    <w:name w:val="apple-converted-space"/>
    <w:basedOn w:val="2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083D99-012C-41AF-BA0A-DED9F2F39A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1200</Characters>
  <Lines>10</Lines>
  <Paragraphs>2</Paragraphs>
  <TotalTime>17</TotalTime>
  <ScaleCrop>false</ScaleCrop>
  <LinksUpToDate>false</LinksUpToDate>
  <CharactersWithSpaces>1408</CharactersWithSpaces>
  <Application>WPS Office_11.1.0.9329_F1E327BC-269C-435d-A152-05C5408002CA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2019-09-09T05:46:00Z</dcterms:created>
  <dc:creator>huah</dc:creator>
  <cp:lastModifiedBy>huah</cp:lastModifiedBy>
  <cp:lastPrinted>2019-12-04T01:19:00Z</cp:lastPrinted>
  <dcterms:modified xsi:type="dcterms:W3CDTF">2020-01-10T06:59:11Z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