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document.xml" ContentType="application/vnd.openxmlformats-officedocument.wordprocessingml.document.main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drawings/drawing3.xml" ContentType="application/vnd.openxmlformats-officedocument.drawingml.chartshapes+xml"/>
  <Override PartName="/word/drawings/drawing4.xml" ContentType="application/vnd.openxmlformats-officedocument.drawingml.chartshapes+xml"/>
  <Override PartName="/word/drawings/drawing5.xml" ContentType="application/vnd.openxmlformats-officedocument.drawingml.chartshapes+xml"/>
  <Override PartName="/word/drawings/drawing6.xml" ContentType="application/vnd.openxmlformats-officedocument.drawingml.chartshapes+xml"/>
  <Override PartName="/word/drawings/drawing7.xml" ContentType="application/vnd.openxmlformats-officedocument.drawingml.chartshapes+xml"/>
  <Override PartName="/word/drawings/drawing8.xml" ContentType="application/vnd.openxmlformats-officedocument.drawingml.chartshap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bookmarkStart w:id="0" w:name="_Toc31061"/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2019年业内从业人员整体发展情况概述</w:t>
      </w: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eastAsia" w:ascii="仿宋" w:hAnsi="仿宋" w:eastAsia="仿宋"/>
          <w:lang w:eastAsia="zh-CN"/>
        </w:rPr>
      </w:pPr>
    </w:p>
    <w:p>
      <w:pPr>
        <w:pStyle w:val="2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3" w:firstLineChars="200"/>
        <w:textAlignment w:val="auto"/>
        <w:rPr>
          <w:rFonts w:hint="eastAsia" w:ascii="仿宋" w:hAnsi="仿宋" w:eastAsia="仿宋"/>
          <w:lang w:val="en-US" w:eastAsia="zh-CN"/>
        </w:rPr>
      </w:pPr>
      <w:r>
        <w:rPr>
          <w:rFonts w:hint="eastAsia" w:ascii="仿宋" w:hAnsi="仿宋" w:eastAsia="仿宋"/>
          <w:lang w:eastAsia="zh-CN"/>
        </w:rPr>
        <w:t>一、从业</w:t>
      </w:r>
      <w:r>
        <w:rPr>
          <w:rFonts w:hint="eastAsia" w:ascii="仿宋" w:hAnsi="仿宋" w:eastAsia="仿宋"/>
        </w:rPr>
        <w:t>人员</w:t>
      </w:r>
      <w:r>
        <w:rPr>
          <w:rFonts w:hint="eastAsia" w:ascii="仿宋" w:hAnsi="仿宋" w:eastAsia="仿宋"/>
          <w:lang w:eastAsia="zh-CN"/>
        </w:rPr>
        <w:t>总量相比</w:t>
      </w:r>
      <w:r>
        <w:rPr>
          <w:rFonts w:hint="eastAsia" w:ascii="仿宋" w:hAnsi="仿宋" w:eastAsia="仿宋"/>
          <w:lang w:val="en-US" w:eastAsia="zh-CN"/>
        </w:rPr>
        <w:t>2018年</w:t>
      </w:r>
      <w:r>
        <w:rPr>
          <w:rFonts w:hint="eastAsia" w:ascii="仿宋" w:hAnsi="仿宋" w:eastAsia="仿宋"/>
          <w:lang w:eastAsia="zh-CN"/>
        </w:rPr>
        <w:t>略有回升</w:t>
      </w:r>
      <w:bookmarkEnd w:id="0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星级人员是</w:t>
      </w:r>
      <w:r>
        <w:rPr>
          <w:rFonts w:hint="eastAsia" w:ascii="仿宋" w:hAnsi="仿宋" w:eastAsia="仿宋"/>
          <w:sz w:val="32"/>
          <w:szCs w:val="32"/>
          <w:lang w:eastAsia="zh-CN"/>
        </w:rPr>
        <w:t>深圳市房地产中介协会（以下简称“深房中协”）</w:t>
      </w:r>
      <w:r>
        <w:rPr>
          <w:rFonts w:hint="eastAsia" w:ascii="仿宋" w:hAnsi="仿宋" w:eastAsia="仿宋"/>
          <w:sz w:val="32"/>
          <w:szCs w:val="32"/>
        </w:rPr>
        <w:t>深房中协对行业内从业人员专业服务水平、从业信用等级进行评定产生的有星级级别人员，由低到高依次为一星、二星、三星、四星、五星共五个级别。</w:t>
      </w:r>
    </w:p>
    <w:p>
      <w:pPr>
        <w:pStyle w:val="6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（一）从业</w:t>
      </w:r>
      <w:r>
        <w:rPr>
          <w:rFonts w:hint="eastAsia" w:ascii="仿宋" w:hAnsi="仿宋" w:eastAsia="仿宋"/>
          <w:b/>
          <w:bCs/>
          <w:sz w:val="32"/>
          <w:szCs w:val="32"/>
        </w:rPr>
        <w:t>人员总量年度对比</w:t>
      </w:r>
    </w:p>
    <w:p>
      <w:pPr>
        <w:jc w:val="center"/>
      </w:pPr>
      <w:r>
        <w:drawing>
          <wp:inline distT="0" distB="0" distL="114300" distR="114300">
            <wp:extent cx="4572000" cy="2743200"/>
            <wp:effectExtent l="4445" t="4445" r="14605" b="14605"/>
            <wp:docPr id="71" name="图表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>
      <w:pPr>
        <w:spacing w:line="560" w:lineRule="exact"/>
        <w:ind w:firstLine="640" w:firstLineChars="200"/>
        <w:jc w:val="center"/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（信息来源：</w:t>
      </w:r>
      <w:r>
        <w:rPr>
          <w:rFonts w:hint="eastAsia" w:ascii="仿宋" w:hAnsi="仿宋" w:eastAsia="仿宋"/>
          <w:sz w:val="32"/>
          <w:szCs w:val="32"/>
          <w:highlight w:val="none"/>
        </w:rPr>
        <w:t>深房中协标准指数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）</w:t>
      </w:r>
    </w:p>
    <w:p>
      <w:pPr>
        <w:spacing w:line="560" w:lineRule="exact"/>
        <w:ind w:firstLine="640" w:firstLineChars="200"/>
        <w:jc w:val="left"/>
        <w:rPr>
          <w:rFonts w:hint="default" w:ascii="仿宋" w:hAnsi="仿宋" w:eastAsia="仿宋"/>
          <w:sz w:val="32"/>
          <w:szCs w:val="32"/>
          <w:lang w:val="en-US"/>
        </w:rPr>
      </w:pP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2019年星级人员人数同比有所回升</w:t>
      </w:r>
      <w:r>
        <w:rPr>
          <w:rFonts w:hint="eastAsia" w:ascii="仿宋" w:hAnsi="仿宋" w:eastAsia="仿宋"/>
          <w:sz w:val="32"/>
          <w:szCs w:val="32"/>
          <w:highlight w:val="none"/>
        </w:rPr>
        <w:t>。截止到201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" w:hAnsi="仿宋" w:eastAsia="仿宋"/>
          <w:sz w:val="32"/>
          <w:szCs w:val="32"/>
          <w:highlight w:val="none"/>
        </w:rPr>
        <w:t>年1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  <w:highlight w:val="none"/>
        </w:rPr>
        <w:t>月3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/>
          <w:sz w:val="32"/>
          <w:szCs w:val="32"/>
          <w:highlight w:val="none"/>
        </w:rPr>
        <w:t>日，星级人员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46570</w:t>
      </w:r>
      <w:r>
        <w:rPr>
          <w:rFonts w:hint="eastAsia" w:ascii="仿宋" w:hAnsi="仿宋" w:eastAsia="仿宋"/>
          <w:sz w:val="32"/>
          <w:szCs w:val="32"/>
          <w:highlight w:val="none"/>
        </w:rPr>
        <w:t>人，</w:t>
      </w:r>
      <w:r>
        <w:rPr>
          <w:rFonts w:hint="eastAsia" w:ascii="仿宋" w:hAnsi="仿宋" w:eastAsia="仿宋"/>
          <w:sz w:val="32"/>
          <w:szCs w:val="32"/>
        </w:rPr>
        <w:t>同比</w:t>
      </w:r>
      <w:r>
        <w:rPr>
          <w:rFonts w:hint="eastAsia" w:ascii="仿宋" w:hAnsi="仿宋" w:eastAsia="仿宋"/>
          <w:sz w:val="32"/>
          <w:szCs w:val="32"/>
          <w:lang w:eastAsia="zh-CN"/>
        </w:rPr>
        <w:t>增加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11.7</w:t>
      </w:r>
      <w:r>
        <w:rPr>
          <w:rFonts w:hint="eastAsia" w:ascii="仿宋" w:hAnsi="仿宋" w:eastAsia="仿宋"/>
          <w:sz w:val="32"/>
          <w:szCs w:val="32"/>
        </w:rPr>
        <w:t>%。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2016至2018年</w:t>
      </w:r>
      <w:r>
        <w:rPr>
          <w:rFonts w:hint="eastAsia" w:ascii="仿宋" w:hAnsi="仿宋" w:eastAsia="仿宋"/>
          <w:sz w:val="32"/>
          <w:szCs w:val="32"/>
        </w:rPr>
        <w:t>星级人员呈现</w:t>
      </w:r>
      <w:r>
        <w:rPr>
          <w:rFonts w:hint="eastAsia" w:ascii="仿宋" w:hAnsi="仿宋" w:eastAsia="仿宋"/>
          <w:sz w:val="32"/>
          <w:szCs w:val="32"/>
          <w:lang w:eastAsia="zh-CN"/>
        </w:rPr>
        <w:t>持续下降态势，而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2019年星级人员总量则呈现出整体缓慢回升态势，主要是因为深圳2019年利好信息不断，促进市场成交，进而吸引人员不断进入行业。</w:t>
      </w:r>
    </w:p>
    <w:p>
      <w:pPr>
        <w:pStyle w:val="6"/>
        <w:numPr>
          <w:ilvl w:val="0"/>
          <w:numId w:val="0"/>
        </w:numPr>
        <w:spacing w:line="560" w:lineRule="exact"/>
        <w:ind w:left="640" w:leftChars="0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从业</w:t>
      </w:r>
      <w:r>
        <w:rPr>
          <w:rFonts w:hint="eastAsia" w:ascii="仿宋" w:hAnsi="仿宋" w:eastAsia="仿宋"/>
          <w:b/>
          <w:bCs/>
          <w:sz w:val="32"/>
          <w:szCs w:val="32"/>
        </w:rPr>
        <w:t>人员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留存率在上升</w:t>
      </w:r>
    </w:p>
    <w:p>
      <w:pPr>
        <w:jc w:val="center"/>
      </w:pPr>
      <w:r>
        <w:drawing>
          <wp:inline distT="0" distB="0" distL="114300" distR="114300">
            <wp:extent cx="4740275" cy="2743200"/>
            <wp:effectExtent l="4445" t="4445" r="17780" b="14605"/>
            <wp:docPr id="72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>
      <w:pPr>
        <w:spacing w:line="560" w:lineRule="exact"/>
        <w:ind w:firstLine="640" w:firstLineChars="200"/>
        <w:jc w:val="center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（信息来源：</w:t>
      </w:r>
      <w:r>
        <w:rPr>
          <w:rFonts w:hint="eastAsia" w:ascii="仿宋" w:hAnsi="仿宋" w:eastAsia="仿宋"/>
          <w:sz w:val="32"/>
          <w:szCs w:val="32"/>
          <w:highlight w:val="none"/>
        </w:rPr>
        <w:t>深房中协标准指数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当月应提升人数是指当月即将到期的星</w:t>
      </w:r>
      <w:r>
        <w:rPr>
          <w:rFonts w:hint="eastAsia" w:ascii="仿宋" w:hAnsi="仿宋" w:eastAsia="仿宋"/>
          <w:sz w:val="32"/>
          <w:szCs w:val="32"/>
        </w:rPr>
        <w:t>级人员，需进行星级提升的人员量。当月未提升人数是指当月应进行星级提升而未操作的人员量。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2019年</w:t>
      </w:r>
      <w:r>
        <w:rPr>
          <w:rFonts w:hint="eastAsia" w:ascii="仿宋" w:hAnsi="仿宋" w:eastAsia="仿宋"/>
          <w:sz w:val="32"/>
          <w:szCs w:val="32"/>
        </w:rPr>
        <w:t>星级人员未提升占应提升</w:t>
      </w:r>
      <w:r>
        <w:rPr>
          <w:rFonts w:hint="eastAsia" w:ascii="仿宋" w:hAnsi="仿宋" w:eastAsia="仿宋"/>
          <w:sz w:val="32"/>
          <w:szCs w:val="32"/>
          <w:lang w:eastAsia="zh-CN"/>
        </w:rPr>
        <w:t>月平均</w:t>
      </w:r>
      <w:r>
        <w:rPr>
          <w:rFonts w:hint="eastAsia" w:ascii="仿宋" w:hAnsi="仿宋" w:eastAsia="仿宋"/>
          <w:sz w:val="32"/>
          <w:szCs w:val="32"/>
        </w:rPr>
        <w:t>比例</w:t>
      </w:r>
      <w:r>
        <w:rPr>
          <w:rFonts w:hint="eastAsia" w:ascii="仿宋" w:hAnsi="仿宋" w:eastAsia="仿宋"/>
          <w:sz w:val="32"/>
          <w:szCs w:val="32"/>
          <w:lang w:eastAsia="zh-CN"/>
        </w:rPr>
        <w:t>为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36%，</w:t>
      </w:r>
      <w:r>
        <w:rPr>
          <w:rFonts w:hint="eastAsia" w:ascii="仿宋" w:hAnsi="仿宋" w:eastAsia="仿宋"/>
          <w:sz w:val="32"/>
          <w:szCs w:val="32"/>
          <w:lang w:eastAsia="zh-CN"/>
        </w:rPr>
        <w:t>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2018年的</w:t>
      </w:r>
      <w:r>
        <w:rPr>
          <w:rFonts w:hint="eastAsia" w:ascii="仿宋" w:hAnsi="仿宋" w:eastAsia="仿宋"/>
          <w:sz w:val="32"/>
          <w:szCs w:val="32"/>
        </w:rPr>
        <w:t>59%月均</w:t>
      </w:r>
      <w:r>
        <w:rPr>
          <w:rFonts w:hint="eastAsia" w:ascii="仿宋" w:hAnsi="仿宋" w:eastAsia="仿宋"/>
          <w:sz w:val="32"/>
          <w:szCs w:val="32"/>
          <w:lang w:eastAsia="zh-CN"/>
        </w:rPr>
        <w:t>比例有了明显下降</w:t>
      </w:r>
      <w:r>
        <w:rPr>
          <w:rFonts w:hint="eastAsia" w:ascii="仿宋" w:hAnsi="仿宋" w:eastAsia="仿宋"/>
          <w:sz w:val="32"/>
          <w:szCs w:val="32"/>
        </w:rPr>
        <w:t>，反映出房地产中介行业人员</w:t>
      </w:r>
      <w:r>
        <w:rPr>
          <w:rFonts w:hint="eastAsia" w:ascii="仿宋" w:hAnsi="仿宋" w:eastAsia="仿宋"/>
          <w:sz w:val="32"/>
          <w:szCs w:val="32"/>
          <w:lang w:eastAsia="zh-CN"/>
        </w:rPr>
        <w:t>留存率在上升，对于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2020年行业预期而言，这是一个好的“兆头”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t xml:space="preserve"> </w:t>
      </w:r>
    </w:p>
    <w:p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after="0" w:line="560" w:lineRule="exact"/>
        <w:ind w:firstLine="643" w:firstLineChars="200"/>
        <w:textAlignment w:val="auto"/>
        <w:rPr>
          <w:rFonts w:hint="eastAsia" w:ascii="仿宋" w:hAnsi="仿宋" w:eastAsia="仿宋"/>
          <w:sz w:val="32"/>
          <w:szCs w:val="32"/>
          <w:lang w:eastAsia="zh-CN"/>
        </w:rPr>
      </w:pPr>
      <w:bookmarkStart w:id="1" w:name="_Toc16471"/>
      <w:r>
        <w:rPr>
          <w:rFonts w:hint="eastAsia" w:ascii="仿宋" w:hAnsi="仿宋" w:eastAsia="仿宋"/>
          <w:sz w:val="32"/>
          <w:szCs w:val="32"/>
          <w:lang w:val="en-US" w:eastAsia="zh-CN"/>
        </w:rPr>
        <w:t>二、从业</w:t>
      </w:r>
      <w:r>
        <w:rPr>
          <w:rFonts w:hint="eastAsia" w:ascii="仿宋" w:hAnsi="仿宋" w:eastAsia="仿宋"/>
          <w:sz w:val="32"/>
          <w:szCs w:val="32"/>
        </w:rPr>
        <w:t>人员结构</w:t>
      </w:r>
      <w:r>
        <w:rPr>
          <w:rFonts w:hint="eastAsia" w:ascii="仿宋" w:hAnsi="仿宋" w:eastAsia="仿宋"/>
          <w:sz w:val="32"/>
          <w:szCs w:val="32"/>
          <w:lang w:eastAsia="zh-CN"/>
        </w:rPr>
        <w:t>仍有待优化</w:t>
      </w:r>
      <w:bookmarkEnd w:id="1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星级人员结构是指星级人员的各项子指标分类，主要有星级级别、性别、年龄、学历、从业年限、人员户籍所在地等分类。</w:t>
      </w:r>
    </w:p>
    <w:p>
      <w:pPr>
        <w:pStyle w:val="6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640" w:leftChars="0"/>
        <w:textAlignment w:val="auto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（一）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从业</w:t>
      </w:r>
      <w:r>
        <w:rPr>
          <w:rFonts w:hint="eastAsia" w:ascii="仿宋" w:hAnsi="仿宋" w:eastAsia="仿宋"/>
          <w:b/>
          <w:bCs/>
          <w:sz w:val="32"/>
          <w:szCs w:val="32"/>
        </w:rPr>
        <w:t>人员星级级别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普遍较低</w:t>
      </w:r>
    </w:p>
    <w:p>
      <w:pPr>
        <w:jc w:val="center"/>
      </w:pPr>
      <w:r>
        <w:drawing>
          <wp:inline distT="0" distB="0" distL="114300" distR="114300">
            <wp:extent cx="4572000" cy="2743200"/>
            <wp:effectExtent l="4445" t="4445" r="14605" b="14605"/>
            <wp:docPr id="73" name="图表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>
      <w:pPr>
        <w:spacing w:line="560" w:lineRule="exact"/>
        <w:ind w:firstLine="640" w:firstLineChars="200"/>
        <w:jc w:val="center"/>
        <w:rPr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（信息来源：</w:t>
      </w:r>
      <w:r>
        <w:rPr>
          <w:rFonts w:hint="eastAsia" w:ascii="仿宋" w:hAnsi="仿宋" w:eastAsia="仿宋"/>
          <w:sz w:val="32"/>
          <w:szCs w:val="32"/>
          <w:highlight w:val="none"/>
        </w:rPr>
        <w:t>深房中协标准指数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）</w:t>
      </w:r>
    </w:p>
    <w:p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星级人员星级级别主要分布在一星级，占总量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96.5</w:t>
      </w:r>
      <w:r>
        <w:rPr>
          <w:rFonts w:hint="eastAsia" w:ascii="仿宋" w:hAnsi="仿宋" w:eastAsia="仿宋"/>
          <w:sz w:val="32"/>
          <w:szCs w:val="32"/>
        </w:rPr>
        <w:t>% ，</w:t>
      </w:r>
      <w:r>
        <w:rPr>
          <w:rFonts w:hint="eastAsia" w:ascii="仿宋" w:hAnsi="仿宋" w:eastAsia="仿宋"/>
          <w:sz w:val="32"/>
          <w:szCs w:val="32"/>
          <w:lang w:eastAsia="zh-CN"/>
        </w:rPr>
        <w:t>高星级级别人员出现明显下降。主要是从</w:t>
      </w:r>
      <w:r>
        <w:rPr>
          <w:rFonts w:hint="eastAsia" w:ascii="仿宋" w:hAnsi="仿宋" w:eastAsia="仿宋"/>
          <w:sz w:val="32"/>
          <w:szCs w:val="32"/>
        </w:rPr>
        <w:t>2019年10月1日起，人员星级评价体系中正式引入业绩指标项。以前人员星级评定主要参照星级累计时间和学历2项指标，评定方式过于单一，不能全面科学地反映出</w:t>
      </w:r>
      <w:r>
        <w:rPr>
          <w:rFonts w:ascii="仿宋" w:hAnsi="仿宋" w:eastAsia="仿宋"/>
          <w:color w:val="000000"/>
          <w:sz w:val="32"/>
          <w:szCs w:val="32"/>
        </w:rPr>
        <w:t>中介</w:t>
      </w:r>
      <w:r>
        <w:rPr>
          <w:rFonts w:hint="eastAsia" w:ascii="仿宋" w:hAnsi="仿宋" w:eastAsia="仿宋"/>
          <w:sz w:val="32"/>
          <w:szCs w:val="32"/>
        </w:rPr>
        <w:t>人员的实际业务能力，</w:t>
      </w:r>
      <w:r>
        <w:rPr>
          <w:rFonts w:hint="eastAsia" w:ascii="仿宋" w:hAnsi="仿宋" w:eastAsia="仿宋"/>
          <w:color w:val="000000"/>
          <w:sz w:val="32"/>
          <w:szCs w:val="32"/>
        </w:rPr>
        <w:t>而将</w:t>
      </w:r>
      <w:r>
        <w:rPr>
          <w:rFonts w:ascii="仿宋" w:hAnsi="仿宋" w:eastAsia="仿宋"/>
          <w:color w:val="000000"/>
          <w:sz w:val="32"/>
          <w:szCs w:val="32"/>
        </w:rPr>
        <w:t>成交业绩</w:t>
      </w:r>
      <w:r>
        <w:rPr>
          <w:rFonts w:hint="eastAsia" w:ascii="仿宋" w:hAnsi="仿宋" w:eastAsia="仿宋"/>
          <w:color w:val="000000"/>
          <w:sz w:val="32"/>
          <w:szCs w:val="32"/>
        </w:rPr>
        <w:t>指标与星级评定</w:t>
      </w:r>
      <w:r>
        <w:rPr>
          <w:rFonts w:ascii="仿宋" w:hAnsi="仿宋" w:eastAsia="仿宋"/>
          <w:color w:val="000000"/>
          <w:sz w:val="32"/>
          <w:szCs w:val="32"/>
        </w:rPr>
        <w:t>挂钩，</w:t>
      </w:r>
      <w:r>
        <w:rPr>
          <w:rFonts w:hint="eastAsia" w:ascii="仿宋" w:hAnsi="仿宋" w:eastAsia="仿宋"/>
          <w:color w:val="000000"/>
          <w:sz w:val="32"/>
          <w:szCs w:val="32"/>
        </w:rPr>
        <w:t>就</w:t>
      </w:r>
      <w:r>
        <w:rPr>
          <w:rFonts w:ascii="仿宋" w:hAnsi="仿宋" w:eastAsia="仿宋"/>
          <w:color w:val="000000"/>
          <w:sz w:val="32"/>
          <w:szCs w:val="32"/>
        </w:rPr>
        <w:t>既能为</w:t>
      </w:r>
      <w:r>
        <w:rPr>
          <w:rFonts w:hint="eastAsia" w:ascii="仿宋" w:hAnsi="仿宋" w:eastAsia="仿宋"/>
          <w:color w:val="000000"/>
          <w:sz w:val="32"/>
          <w:szCs w:val="32"/>
        </w:rPr>
        <w:t>部分</w:t>
      </w:r>
      <w:r>
        <w:rPr>
          <w:rFonts w:ascii="仿宋" w:hAnsi="仿宋" w:eastAsia="仿宋"/>
          <w:color w:val="000000"/>
          <w:sz w:val="32"/>
          <w:szCs w:val="32"/>
        </w:rPr>
        <w:t>未接受过高等教育的中介人员提供更为公平的星级提升机会，同时也更能体现出中介人员的实际业务能力与星级级别的关联程度</w:t>
      </w:r>
      <w:r>
        <w:rPr>
          <w:rFonts w:hint="eastAsia" w:ascii="仿宋" w:hAnsi="仿宋" w:eastAsia="仿宋"/>
          <w:color w:val="000000"/>
          <w:sz w:val="32"/>
          <w:szCs w:val="32"/>
        </w:rPr>
        <w:t>，真正实现高星级级别与强业务能力划等号，提高社会以及消费者对于星级的认可度</w:t>
      </w:r>
      <w:r>
        <w:rPr>
          <w:rFonts w:hint="eastAsia" w:ascii="仿宋" w:hAnsi="仿宋" w:eastAsia="仿宋"/>
          <w:sz w:val="32"/>
          <w:szCs w:val="32"/>
        </w:rPr>
        <w:t>。</w:t>
      </w:r>
      <w:r>
        <w:rPr>
          <w:rFonts w:ascii="仿宋" w:hAnsi="仿宋" w:eastAsia="仿宋"/>
          <w:sz w:val="32"/>
          <w:szCs w:val="32"/>
        </w:rPr>
        <w:t xml:space="preserve"> </w:t>
      </w:r>
    </w:p>
    <w:p>
      <w:pPr>
        <w:pStyle w:val="6"/>
        <w:numPr>
          <w:ilvl w:val="0"/>
          <w:numId w:val="0"/>
        </w:numPr>
        <w:spacing w:line="560" w:lineRule="exact"/>
        <w:ind w:left="640" w:leftChars="0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（二）从业</w:t>
      </w:r>
      <w:r>
        <w:rPr>
          <w:rFonts w:hint="eastAsia" w:ascii="仿宋" w:hAnsi="仿宋" w:eastAsia="仿宋"/>
          <w:b/>
          <w:bCs/>
          <w:sz w:val="32"/>
          <w:szCs w:val="32"/>
        </w:rPr>
        <w:t>人员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男女性别比例失衡</w:t>
      </w:r>
    </w:p>
    <w:p>
      <w:pPr>
        <w:jc w:val="center"/>
      </w:pPr>
      <w:r>
        <w:drawing>
          <wp:inline distT="0" distB="0" distL="114300" distR="114300">
            <wp:extent cx="4572000" cy="2743200"/>
            <wp:effectExtent l="4445" t="4445" r="14605" b="14605"/>
            <wp:docPr id="9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>
      <w:pPr>
        <w:spacing w:line="560" w:lineRule="exact"/>
        <w:ind w:firstLine="640" w:firstLineChars="200"/>
        <w:jc w:val="center"/>
        <w:rPr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（信息来源：</w:t>
      </w:r>
      <w:r>
        <w:rPr>
          <w:rFonts w:hint="eastAsia" w:ascii="仿宋" w:hAnsi="仿宋" w:eastAsia="仿宋"/>
          <w:sz w:val="32"/>
          <w:szCs w:val="32"/>
          <w:highlight w:val="none"/>
        </w:rPr>
        <w:t>深房中协标准指数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）</w:t>
      </w:r>
    </w:p>
    <w:p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星级人员男性数量明显高于女性，男、</w:t>
      </w:r>
      <w:r>
        <w:rPr>
          <w:rFonts w:hint="eastAsia" w:ascii="仿宋" w:hAnsi="仿宋" w:eastAsia="仿宋"/>
          <w:sz w:val="32"/>
          <w:szCs w:val="32"/>
        </w:rPr>
        <w:t>女比例为2.5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/>
          <w:sz w:val="32"/>
          <w:szCs w:val="32"/>
        </w:rPr>
        <w:t>：1</w:t>
      </w:r>
      <w:r>
        <w:rPr>
          <w:rFonts w:hint="eastAsia" w:ascii="仿宋" w:hAnsi="仿宋" w:eastAsia="仿宋"/>
          <w:sz w:val="32"/>
          <w:szCs w:val="32"/>
          <w:lang w:eastAsia="zh-CN"/>
        </w:rPr>
        <w:t>，较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2018年的2.56的比例有所下降，说明行业女性从业比例在上升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pStyle w:val="6"/>
        <w:numPr>
          <w:ilvl w:val="0"/>
          <w:numId w:val="0"/>
        </w:numPr>
        <w:spacing w:line="560" w:lineRule="exact"/>
        <w:ind w:left="640" w:leftChars="0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（三）从业</w:t>
      </w:r>
      <w:r>
        <w:rPr>
          <w:rFonts w:hint="eastAsia" w:ascii="仿宋" w:hAnsi="仿宋" w:eastAsia="仿宋"/>
          <w:b/>
          <w:bCs/>
          <w:sz w:val="32"/>
          <w:szCs w:val="32"/>
        </w:rPr>
        <w:t>人员年龄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普遍较年轻</w:t>
      </w:r>
    </w:p>
    <w:p>
      <w:pPr>
        <w:jc w:val="center"/>
      </w:pPr>
      <w:r>
        <w:drawing>
          <wp:inline distT="0" distB="0" distL="114300" distR="114300">
            <wp:extent cx="4572000" cy="2743200"/>
            <wp:effectExtent l="4445" t="4445" r="14605" b="14605"/>
            <wp:docPr id="74" name="图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>
      <w:pPr>
        <w:spacing w:line="560" w:lineRule="exact"/>
        <w:ind w:firstLine="640" w:firstLineChars="200"/>
        <w:jc w:val="center"/>
        <w:rPr>
          <w:rFonts w:hint="eastAsia" w:ascii="仿宋" w:hAnsi="仿宋" w:eastAsia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（信息来源：</w:t>
      </w:r>
      <w:r>
        <w:rPr>
          <w:rFonts w:hint="eastAsia" w:ascii="仿宋" w:hAnsi="仿宋" w:eastAsia="仿宋"/>
          <w:sz w:val="32"/>
          <w:szCs w:val="32"/>
          <w:highlight w:val="none"/>
        </w:rPr>
        <w:t>深房中协标准指数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）</w:t>
      </w:r>
    </w:p>
    <w:p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当前星级人员年龄主要处于26-35岁之</w:t>
      </w:r>
      <w:r>
        <w:rPr>
          <w:rFonts w:hint="eastAsia" w:ascii="仿宋" w:hAnsi="仿宋" w:eastAsia="仿宋"/>
          <w:sz w:val="32"/>
          <w:szCs w:val="32"/>
        </w:rPr>
        <w:t>间，人数有2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3346</w:t>
      </w:r>
      <w:r>
        <w:rPr>
          <w:rFonts w:hint="eastAsia" w:ascii="仿宋" w:hAnsi="仿宋" w:eastAsia="仿宋"/>
          <w:sz w:val="32"/>
          <w:szCs w:val="32"/>
        </w:rPr>
        <w:t>人，占总量的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50.1</w:t>
      </w:r>
      <w:r>
        <w:rPr>
          <w:rFonts w:hint="eastAsia"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</w:rPr>
        <w:t>其次是25岁及以下人员最多。</w:t>
      </w:r>
      <w:r>
        <w:rPr>
          <w:rFonts w:hint="eastAsia" w:ascii="仿宋" w:hAnsi="仿宋" w:eastAsia="仿宋"/>
          <w:sz w:val="32"/>
          <w:szCs w:val="32"/>
          <w:lang w:eastAsia="zh-CN"/>
        </w:rPr>
        <w:t>行业从业人员年轻化占据主流</w:t>
      </w:r>
      <w:r>
        <w:rPr>
          <w:rFonts w:hint="eastAsia" w:ascii="仿宋" w:hAnsi="仿宋" w:eastAsia="仿宋"/>
          <w:sz w:val="32"/>
          <w:szCs w:val="32"/>
        </w:rPr>
        <w:t>，这一现象与国外成熟市场相比正好相反。</w:t>
      </w:r>
    </w:p>
    <w:p>
      <w:pPr>
        <w:pStyle w:val="6"/>
        <w:numPr>
          <w:ilvl w:val="0"/>
          <w:numId w:val="0"/>
        </w:numPr>
        <w:spacing w:line="560" w:lineRule="exact"/>
        <w:ind w:left="640" w:leftChars="0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（四）从业</w:t>
      </w:r>
      <w:r>
        <w:rPr>
          <w:rFonts w:hint="eastAsia" w:ascii="仿宋" w:hAnsi="仿宋" w:eastAsia="仿宋"/>
          <w:b/>
          <w:bCs/>
          <w:sz w:val="32"/>
          <w:szCs w:val="32"/>
        </w:rPr>
        <w:t>人员学历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整体偏低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根据从业人员学历，主要分为高中及以下、大专、本科及以上三个类别。</w:t>
      </w:r>
    </w:p>
    <w:p>
      <w:pPr>
        <w:jc w:val="center"/>
      </w:pPr>
      <w:r>
        <w:drawing>
          <wp:inline distT="0" distB="0" distL="114300" distR="114300">
            <wp:extent cx="4572000" cy="2743200"/>
            <wp:effectExtent l="4445" t="4445" r="14605" b="14605"/>
            <wp:docPr id="75" name="图表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>
      <w:pPr>
        <w:spacing w:line="560" w:lineRule="exact"/>
        <w:ind w:firstLine="640" w:firstLineChars="200"/>
        <w:jc w:val="center"/>
        <w:rPr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（信息来源：</w:t>
      </w:r>
      <w:r>
        <w:rPr>
          <w:rFonts w:hint="eastAsia" w:ascii="仿宋" w:hAnsi="仿宋" w:eastAsia="仿宋"/>
          <w:sz w:val="32"/>
          <w:szCs w:val="32"/>
          <w:highlight w:val="none"/>
        </w:rPr>
        <w:t>深房中协标准指数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）</w:t>
      </w:r>
    </w:p>
    <w:p>
      <w:pPr>
        <w:spacing w:line="560" w:lineRule="exact"/>
        <w:ind w:firstLine="640" w:firstLineChars="200"/>
        <w:jc w:val="left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高中及以下学历人员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32158</w:t>
      </w:r>
      <w:r>
        <w:rPr>
          <w:rFonts w:hint="eastAsia" w:ascii="仿宋" w:hAnsi="仿宋" w:eastAsia="仿宋"/>
          <w:sz w:val="32"/>
          <w:szCs w:val="32"/>
          <w:highlight w:val="none"/>
        </w:rPr>
        <w:t>人，占总量</w:t>
      </w:r>
      <w:r>
        <w:rPr>
          <w:rFonts w:hint="eastAsia" w:ascii="仿宋" w:hAnsi="仿宋" w:eastAsia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9.1</w:t>
      </w:r>
      <w:r>
        <w:rPr>
          <w:rFonts w:hint="eastAsia" w:ascii="仿宋" w:hAnsi="仿宋" w:eastAsia="仿宋"/>
          <w:sz w:val="32"/>
          <w:szCs w:val="32"/>
        </w:rPr>
        <w:t>%。大专学历人员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9007</w:t>
      </w:r>
      <w:r>
        <w:rPr>
          <w:rFonts w:hint="eastAsia" w:ascii="仿宋" w:hAnsi="仿宋" w:eastAsia="仿宋"/>
          <w:sz w:val="32"/>
          <w:szCs w:val="32"/>
        </w:rPr>
        <w:t>人，占总量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19.3</w:t>
      </w:r>
      <w:r>
        <w:rPr>
          <w:rFonts w:hint="eastAsia" w:ascii="仿宋" w:hAnsi="仿宋" w:eastAsia="仿宋"/>
          <w:sz w:val="32"/>
          <w:szCs w:val="32"/>
        </w:rPr>
        <w:t>%。本科及以上学历人员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5405</w:t>
      </w:r>
      <w:r>
        <w:rPr>
          <w:rFonts w:hint="eastAsia" w:ascii="仿宋" w:hAnsi="仿宋" w:eastAsia="仿宋"/>
          <w:sz w:val="32"/>
          <w:szCs w:val="32"/>
        </w:rPr>
        <w:t>人，占总量的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11.6</w:t>
      </w:r>
      <w:r>
        <w:rPr>
          <w:rFonts w:hint="eastAsia" w:ascii="仿宋" w:hAnsi="仿宋" w:eastAsia="仿宋"/>
          <w:sz w:val="32"/>
          <w:szCs w:val="32"/>
        </w:rPr>
        <w:t>%</w:t>
      </w:r>
      <w:r>
        <w:rPr>
          <w:rFonts w:hint="eastAsia" w:ascii="仿宋" w:hAnsi="仿宋" w:eastAsia="仿宋"/>
          <w:sz w:val="32"/>
          <w:szCs w:val="32"/>
          <w:lang w:eastAsia="zh-CN"/>
        </w:rPr>
        <w:t>。对比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2018年高学历占比有所提升。</w:t>
      </w:r>
    </w:p>
    <w:p>
      <w:pPr>
        <w:pStyle w:val="6"/>
        <w:numPr>
          <w:ilvl w:val="0"/>
          <w:numId w:val="0"/>
        </w:numPr>
        <w:spacing w:line="560" w:lineRule="exact"/>
        <w:ind w:left="640" w:leftChars="0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（五）从业</w:t>
      </w:r>
      <w:r>
        <w:rPr>
          <w:rFonts w:hint="eastAsia" w:ascii="仿宋" w:hAnsi="仿宋" w:eastAsia="仿宋"/>
          <w:b/>
          <w:bCs/>
          <w:sz w:val="32"/>
          <w:szCs w:val="32"/>
        </w:rPr>
        <w:t>人员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的</w:t>
      </w:r>
      <w:r>
        <w:rPr>
          <w:rFonts w:hint="eastAsia" w:ascii="仿宋" w:hAnsi="仿宋" w:eastAsia="仿宋"/>
          <w:b/>
          <w:bCs/>
          <w:sz w:val="32"/>
          <w:szCs w:val="32"/>
        </w:rPr>
        <w:t>从业年限分类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呈现出“橄榄型”特征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根据从业人员从业时间的长短，</w:t>
      </w:r>
      <w:r>
        <w:rPr>
          <w:rFonts w:hint="eastAsia" w:ascii="仿宋" w:hAnsi="仿宋" w:eastAsia="仿宋"/>
          <w:sz w:val="32"/>
          <w:szCs w:val="32"/>
          <w:lang w:eastAsia="zh-CN"/>
        </w:rPr>
        <w:t>将从业年限</w:t>
      </w:r>
      <w:r>
        <w:rPr>
          <w:rFonts w:hint="eastAsia" w:ascii="仿宋" w:hAnsi="仿宋" w:eastAsia="仿宋"/>
          <w:sz w:val="32"/>
          <w:szCs w:val="32"/>
        </w:rPr>
        <w:t>主要分为不足1年、1-3年、4-6年、7年及以上四个类别。</w:t>
      </w:r>
    </w:p>
    <w:p>
      <w:pPr>
        <w:jc w:val="center"/>
      </w:pPr>
      <w:r>
        <w:drawing>
          <wp:inline distT="0" distB="0" distL="114300" distR="114300">
            <wp:extent cx="4572000" cy="2743200"/>
            <wp:effectExtent l="4445" t="4445" r="14605" b="14605"/>
            <wp:docPr id="76" name="图表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>
      <w:pPr>
        <w:spacing w:line="560" w:lineRule="exact"/>
        <w:ind w:firstLine="640" w:firstLineChars="200"/>
        <w:jc w:val="center"/>
        <w:rPr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（信息来源：</w:t>
      </w:r>
      <w:r>
        <w:rPr>
          <w:rFonts w:hint="eastAsia" w:ascii="仿宋" w:hAnsi="仿宋" w:eastAsia="仿宋"/>
          <w:sz w:val="32"/>
          <w:szCs w:val="32"/>
          <w:highlight w:val="none"/>
        </w:rPr>
        <w:t>深房中协标准指数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）</w:t>
      </w:r>
    </w:p>
    <w:p>
      <w:pPr>
        <w:spacing w:line="560" w:lineRule="exact"/>
        <w:ind w:firstLine="640" w:firstLineChars="2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从业1-3年人员</w:t>
      </w:r>
      <w:r>
        <w:rPr>
          <w:rFonts w:hint="eastAsia" w:ascii="仿宋" w:hAnsi="仿宋" w:eastAsia="仿宋"/>
          <w:sz w:val="32"/>
          <w:szCs w:val="32"/>
          <w:lang w:eastAsia="zh-CN"/>
        </w:rPr>
        <w:t>数量最多，</w:t>
      </w:r>
      <w:r>
        <w:rPr>
          <w:rFonts w:hint="eastAsia" w:ascii="仿宋" w:hAnsi="仿宋" w:eastAsia="仿宋"/>
          <w:sz w:val="32"/>
          <w:szCs w:val="32"/>
        </w:rPr>
        <w:t>达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18476</w:t>
      </w:r>
      <w:r>
        <w:rPr>
          <w:rFonts w:hint="eastAsia" w:ascii="仿宋" w:hAnsi="仿宋" w:eastAsia="仿宋"/>
          <w:sz w:val="32"/>
          <w:szCs w:val="32"/>
        </w:rPr>
        <w:t>人占总量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39.7</w:t>
      </w:r>
      <w:r>
        <w:rPr>
          <w:rFonts w:hint="eastAsia" w:ascii="仿宋" w:hAnsi="仿宋" w:eastAsia="仿宋"/>
          <w:sz w:val="32"/>
          <w:szCs w:val="32"/>
        </w:rPr>
        <w:t>%。</w:t>
      </w:r>
      <w:r>
        <w:rPr>
          <w:rFonts w:hint="eastAsia" w:ascii="仿宋" w:hAnsi="仿宋" w:eastAsia="仿宋"/>
          <w:sz w:val="32"/>
          <w:szCs w:val="32"/>
          <w:lang w:eastAsia="zh-CN"/>
        </w:rPr>
        <w:t>不足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1年从业经验的人员占比上升明显，排第二名，占总量24.3%，主要还是因</w:t>
      </w:r>
      <w:bookmarkStart w:id="2" w:name="_GoBack"/>
      <w:bookmarkEnd w:id="2"/>
      <w:r>
        <w:rPr>
          <w:rFonts w:hint="eastAsia" w:ascii="仿宋" w:hAnsi="仿宋" w:eastAsia="仿宋"/>
          <w:sz w:val="32"/>
          <w:szCs w:val="32"/>
          <w:lang w:val="en-US" w:eastAsia="zh-CN"/>
        </w:rPr>
        <w:t>2019年深圳利好信息不断，新人入行积极。</w:t>
      </w:r>
    </w:p>
    <w:p>
      <w:pPr>
        <w:pStyle w:val="6"/>
        <w:numPr>
          <w:ilvl w:val="0"/>
          <w:numId w:val="0"/>
        </w:numPr>
        <w:spacing w:line="560" w:lineRule="exact"/>
        <w:ind w:left="640" w:leftChars="0"/>
        <w:rPr>
          <w:rFonts w:hint="eastAsia" w:ascii="仿宋" w:hAnsi="仿宋" w:eastAsia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（六）从业</w:t>
      </w:r>
      <w:r>
        <w:rPr>
          <w:rFonts w:hint="eastAsia" w:ascii="仿宋" w:hAnsi="仿宋" w:eastAsia="仿宋"/>
          <w:b/>
          <w:bCs/>
          <w:sz w:val="32"/>
          <w:szCs w:val="32"/>
        </w:rPr>
        <w:t>人员籍贯</w:t>
      </w:r>
      <w:r>
        <w:rPr>
          <w:rFonts w:hint="eastAsia" w:ascii="仿宋" w:hAnsi="仿宋" w:eastAsia="仿宋"/>
          <w:b/>
          <w:bCs/>
          <w:sz w:val="32"/>
          <w:szCs w:val="32"/>
          <w:lang w:eastAsia="zh-CN"/>
        </w:rPr>
        <w:t>主要分布在南方省份</w:t>
      </w:r>
    </w:p>
    <w:p>
      <w:pPr>
        <w:jc w:val="center"/>
      </w:pPr>
      <w:r>
        <w:drawing>
          <wp:inline distT="0" distB="0" distL="114300" distR="114300">
            <wp:extent cx="4572000" cy="2743200"/>
            <wp:effectExtent l="4445" t="4445" r="14605" b="14605"/>
            <wp:docPr id="77" name="图表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>
      <w:pPr>
        <w:spacing w:line="560" w:lineRule="exact"/>
        <w:ind w:firstLine="640" w:firstLineChars="200"/>
        <w:jc w:val="center"/>
        <w:rPr>
          <w:highlight w:val="none"/>
        </w:rPr>
      </w:pP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（信息来源：</w:t>
      </w:r>
      <w:r>
        <w:rPr>
          <w:rFonts w:hint="eastAsia" w:ascii="仿宋" w:hAnsi="仿宋" w:eastAsia="仿宋"/>
          <w:sz w:val="32"/>
          <w:szCs w:val="32"/>
          <w:highlight w:val="none"/>
        </w:rPr>
        <w:t>深房中协标准指数</w:t>
      </w:r>
      <w:r>
        <w:rPr>
          <w:rFonts w:hint="eastAsia" w:ascii="仿宋" w:hAnsi="仿宋" w:eastAsia="仿宋"/>
          <w:sz w:val="32"/>
          <w:szCs w:val="32"/>
          <w:highlight w:val="none"/>
          <w:lang w:eastAsia="zh-CN"/>
        </w:rPr>
        <w:t>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highlight w:val="none"/>
        </w:rPr>
        <w:t>在深圳从业房地产中介行业的星级人员，籍</w:t>
      </w:r>
      <w:r>
        <w:rPr>
          <w:rFonts w:hint="eastAsia" w:ascii="仿宋" w:hAnsi="仿宋" w:eastAsia="仿宋"/>
          <w:sz w:val="32"/>
          <w:szCs w:val="32"/>
        </w:rPr>
        <w:t>贯广东省的有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10740</w:t>
      </w:r>
      <w:r>
        <w:rPr>
          <w:rFonts w:hint="eastAsia" w:ascii="仿宋" w:hAnsi="仿宋" w:eastAsia="仿宋"/>
          <w:sz w:val="32"/>
          <w:szCs w:val="32"/>
        </w:rPr>
        <w:t>人，占总量23%。排第二名是湖南省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6397</w:t>
      </w:r>
      <w:r>
        <w:rPr>
          <w:rFonts w:hint="eastAsia" w:ascii="仿宋" w:hAnsi="仿宋" w:eastAsia="仿宋"/>
          <w:sz w:val="32"/>
          <w:szCs w:val="32"/>
        </w:rPr>
        <w:t>人，占总量14%。排第三名的是</w:t>
      </w:r>
      <w:r>
        <w:rPr>
          <w:rFonts w:hint="eastAsia" w:ascii="仿宋" w:hAnsi="仿宋" w:eastAsia="仿宋"/>
          <w:sz w:val="32"/>
          <w:szCs w:val="32"/>
          <w:lang w:eastAsia="zh-CN"/>
        </w:rPr>
        <w:t>江西</w:t>
      </w:r>
      <w:r>
        <w:rPr>
          <w:rFonts w:hint="eastAsia" w:ascii="仿宋" w:hAnsi="仿宋" w:eastAsia="仿宋"/>
          <w:sz w:val="32"/>
          <w:szCs w:val="32"/>
        </w:rPr>
        <w:t>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5361</w:t>
      </w:r>
      <w:r>
        <w:rPr>
          <w:rFonts w:hint="eastAsia" w:ascii="仿宋" w:hAnsi="仿宋" w:eastAsia="仿宋"/>
          <w:sz w:val="32"/>
          <w:szCs w:val="32"/>
        </w:rPr>
        <w:t>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1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C2535A"/>
    <w:rsid w:val="3D6363F4"/>
    <w:rsid w:val="45F23062"/>
    <w:rsid w:val="5D4B3813"/>
    <w:rsid w:val="71A3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3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6.xml"/><Relationship Id="rId8" Type="http://schemas.openxmlformats.org/officeDocument/2006/relationships/chart" Target="charts/chart5.xml"/><Relationship Id="rId7" Type="http://schemas.openxmlformats.org/officeDocument/2006/relationships/chart" Target="charts/chart4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chart" Target="charts/chart8.xml"/><Relationship Id="rId10" Type="http://schemas.openxmlformats.org/officeDocument/2006/relationships/chart" Target="charts/chart7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D:\&#26085;&#24120;&#21150;&#20844;&#25991;&#20214;\&#30740;&#31350;&#37096;\&#30333;&#30382;&#20070;\2019&#24180;&#30333;&#30382;&#20070;\&#28145;&#25151;&#20013;&#21327;&#25151;&#22320;&#20135;&#20013;&#20171;&#34892;&#19994;&#26631;&#20934;&#25351;&#25968;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D:\&#26085;&#24120;&#21150;&#20844;&#25991;&#20214;\&#30740;&#31350;&#37096;\&#30333;&#30382;&#20070;\2019&#24180;&#30333;&#30382;&#20070;\&#28145;&#25151;&#20013;&#21327;&#25151;&#22320;&#20135;&#20013;&#20171;&#34892;&#19994;&#26631;&#20934;&#25351;&#25968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8.xml"/><Relationship Id="rId1" Type="http://schemas.openxmlformats.org/officeDocument/2006/relationships/oleObject" Target="file:///D:\&#26085;&#24120;&#21150;&#20844;&#25991;&#20214;\&#30740;&#31350;&#37096;\&#30333;&#30382;&#20070;\2019&#24180;&#30333;&#30382;&#20070;\&#28145;&#25151;&#20013;&#21327;&#25151;&#22320;&#20135;&#20013;&#20171;&#34892;&#19994;&#26631;&#20934;&#25351;&#25968;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D:\&#26085;&#24120;&#21150;&#20844;&#25991;&#20214;\&#30740;&#31350;&#37096;\&#30333;&#30382;&#20070;\2019&#24180;&#30333;&#30382;&#20070;\&#28145;&#25151;&#20013;&#21327;&#25151;&#22320;&#20135;&#20013;&#20171;&#34892;&#19994;&#26631;&#20934;&#25351;&#25968;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7.xml"/><Relationship Id="rId1" Type="http://schemas.openxmlformats.org/officeDocument/2006/relationships/oleObject" Target="file:///D:\&#26085;&#24120;&#21150;&#20844;&#25991;&#20214;\&#30740;&#31350;&#37096;\&#30333;&#30382;&#20070;\2019&#24180;&#30333;&#30382;&#20070;\&#28145;&#25151;&#20013;&#21327;&#25151;&#22320;&#20135;&#20013;&#20171;&#34892;&#19994;&#26631;&#20934;&#25351;&#25968;.xlsx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D:\&#26085;&#24120;&#21150;&#20844;&#25991;&#20214;\&#30740;&#31350;&#37096;\&#30333;&#30382;&#20070;\2019&#24180;&#30333;&#30382;&#20070;\&#28145;&#25151;&#20013;&#21327;&#25151;&#22320;&#20135;&#20013;&#20171;&#34892;&#19994;&#26631;&#20934;&#25351;&#25968;.xlsx" TargetMode="Externa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oleObject" Target="file:///D:\&#26085;&#24120;&#21150;&#20844;&#25991;&#20214;\&#30740;&#31350;&#37096;\&#30333;&#30382;&#20070;\2019&#24180;&#30333;&#30382;&#20070;\&#28145;&#25151;&#20013;&#21327;&#25151;&#22320;&#20135;&#20013;&#20171;&#34892;&#19994;&#26631;&#20934;&#25351;&#25968;.xlsx" TargetMode="Externa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D:\&#26085;&#24120;&#21150;&#20844;&#25991;&#20214;\&#30740;&#31350;&#37096;\&#30333;&#30382;&#20070;\2019&#24180;&#30333;&#30382;&#20070;\&#28145;&#25151;&#20013;&#21327;&#25151;&#22320;&#20135;&#20013;&#20171;&#34892;&#19994;&#26631;&#20934;&#25351;&#25968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6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zh-CN" altLang="en-US" sz="1600"/>
              <a:t>星级人员量略有回升</a:t>
            </a:r>
            <a:endParaRPr lang="zh-CN" altLang="en-US" sz="1600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[深房中协房地产中介行业标准指数.xlsx]人员!$C$2</c:f>
              <c:strCache>
                <c:ptCount val="1"/>
                <c:pt idx="0">
                  <c:v>星级人员数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.0166666666666667"/>
                  <c:y val="-0.027777777777778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>
                <c:manualLayout>
                  <c:x val="0.00833333333333334"/>
                  <c:y val="-0.0231481481481481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>
                <c:manualLayout>
                  <c:x val="0.00833333333333334"/>
                  <c:y val="-0.0324074074074077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[深房中协房地产中介行业标准指数.xlsx]人员!$D$1:$G$1</c:f>
              <c:strCache>
                <c:ptCount val="4"/>
                <c:pt idx="0">
                  <c:v>2016年</c:v>
                </c:pt>
                <c:pt idx="1">
                  <c:v>2017年</c:v>
                </c:pt>
                <c:pt idx="2">
                  <c:v>2018年</c:v>
                </c:pt>
                <c:pt idx="3">
                  <c:v>2019年</c:v>
                </c:pt>
              </c:strCache>
            </c:strRef>
          </c:cat>
          <c:val>
            <c:numRef>
              <c:f>[深房中协房地产中介行业标准指数.xlsx]人员!$D$2:$G$2</c:f>
              <c:numCache>
                <c:formatCode>General</c:formatCode>
                <c:ptCount val="4"/>
                <c:pt idx="0">
                  <c:v>66574</c:v>
                </c:pt>
                <c:pt idx="1">
                  <c:v>53073</c:v>
                </c:pt>
                <c:pt idx="2">
                  <c:v>41692</c:v>
                </c:pt>
                <c:pt idx="3">
                  <c:v>46570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0779776"/>
        <c:axId val="190781312"/>
      </c:barChart>
      <c:catAx>
        <c:axId val="19077977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90781312"/>
        <c:crosses val="autoZero"/>
        <c:auto val="1"/>
        <c:lblAlgn val="ctr"/>
        <c:lblOffset val="100"/>
        <c:noMultiLvlLbl val="0"/>
      </c:catAx>
      <c:valAx>
        <c:axId val="19078131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90779776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6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en-US" altLang="zh-CN" sz="1600"/>
              <a:t>2019</a:t>
            </a:r>
            <a:r>
              <a:rPr lang="zh-CN" altLang="en-US" sz="1600"/>
              <a:t>年未提升占应提升比例</a:t>
            </a:r>
            <a:endParaRPr lang="zh-CN" altLang="en-US" sz="1600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1"/>
          <c:order val="0"/>
          <c:tx>
            <c:strRef>
              <c:f>[深房中协房地产中介行业标准指数.xlsx]人员!$C$103</c:f>
              <c:strCache>
                <c:ptCount val="1"/>
                <c:pt idx="0">
                  <c:v>当月应提升人数</c:v>
                </c:pt>
              </c:strCache>
            </c:strRef>
          </c:tx>
          <c:invertIfNegative val="0"/>
          <c:dLbls>
            <c:delete val="1"/>
          </c:dLbls>
          <c:cat>
            <c:numRef>
              <c:f>[深房中协房地产中介行业标准指数.xlsx]人员!$B$104:$B$115</c:f>
              <c:numCache>
                <c:formatCode>General</c:formatCode>
                <c:ptCount val="12"/>
                <c:pt idx="0">
                  <c:v>201901</c:v>
                </c:pt>
                <c:pt idx="1">
                  <c:v>201902</c:v>
                </c:pt>
                <c:pt idx="2">
                  <c:v>201903</c:v>
                </c:pt>
                <c:pt idx="3">
                  <c:v>201904</c:v>
                </c:pt>
                <c:pt idx="4">
                  <c:v>201905</c:v>
                </c:pt>
                <c:pt idx="5">
                  <c:v>201906</c:v>
                </c:pt>
                <c:pt idx="6">
                  <c:v>201907</c:v>
                </c:pt>
                <c:pt idx="7">
                  <c:v>201908</c:v>
                </c:pt>
                <c:pt idx="8">
                  <c:v>201909</c:v>
                </c:pt>
                <c:pt idx="9">
                  <c:v>201910</c:v>
                </c:pt>
                <c:pt idx="10">
                  <c:v>201911</c:v>
                </c:pt>
                <c:pt idx="11">
                  <c:v>201912</c:v>
                </c:pt>
              </c:numCache>
            </c:numRef>
          </c:cat>
          <c:val>
            <c:numRef>
              <c:f>[深房中协房地产中介行业标准指数.xlsx]人员!$C$104:$C$115</c:f>
              <c:numCache>
                <c:formatCode>General</c:formatCode>
                <c:ptCount val="12"/>
                <c:pt idx="0">
                  <c:v>1203</c:v>
                </c:pt>
                <c:pt idx="1">
                  <c:v>1489</c:v>
                </c:pt>
                <c:pt idx="2">
                  <c:v>7060</c:v>
                </c:pt>
                <c:pt idx="3">
                  <c:v>10803</c:v>
                </c:pt>
                <c:pt idx="4">
                  <c:v>4401</c:v>
                </c:pt>
                <c:pt idx="5">
                  <c:v>3349</c:v>
                </c:pt>
                <c:pt idx="6">
                  <c:v>4199</c:v>
                </c:pt>
                <c:pt idx="7">
                  <c:v>3474</c:v>
                </c:pt>
                <c:pt idx="8">
                  <c:v>3052</c:v>
                </c:pt>
                <c:pt idx="9">
                  <c:v>3509</c:v>
                </c:pt>
                <c:pt idx="10">
                  <c:v>3050</c:v>
                </c:pt>
                <c:pt idx="11">
                  <c:v>2614</c:v>
                </c:pt>
              </c:numCache>
            </c:numRef>
          </c:val>
        </c:ser>
        <c:ser>
          <c:idx val="2"/>
          <c:order val="1"/>
          <c:tx>
            <c:strRef>
              <c:f>[深房中协房地产中介行业标准指数.xlsx]人员!$D$103</c:f>
              <c:strCache>
                <c:ptCount val="1"/>
                <c:pt idx="0">
                  <c:v>当月未提升人数</c:v>
                </c:pt>
              </c:strCache>
            </c:strRef>
          </c:tx>
          <c:invertIfNegative val="0"/>
          <c:dLbls>
            <c:delete val="1"/>
          </c:dLbls>
          <c:cat>
            <c:numRef>
              <c:f>[深房中协房地产中介行业标准指数.xlsx]人员!$B$104:$B$115</c:f>
              <c:numCache>
                <c:formatCode>General</c:formatCode>
                <c:ptCount val="12"/>
                <c:pt idx="0">
                  <c:v>201901</c:v>
                </c:pt>
                <c:pt idx="1">
                  <c:v>201902</c:v>
                </c:pt>
                <c:pt idx="2">
                  <c:v>201903</c:v>
                </c:pt>
                <c:pt idx="3">
                  <c:v>201904</c:v>
                </c:pt>
                <c:pt idx="4">
                  <c:v>201905</c:v>
                </c:pt>
                <c:pt idx="5">
                  <c:v>201906</c:v>
                </c:pt>
                <c:pt idx="6">
                  <c:v>201907</c:v>
                </c:pt>
                <c:pt idx="7">
                  <c:v>201908</c:v>
                </c:pt>
                <c:pt idx="8">
                  <c:v>201909</c:v>
                </c:pt>
                <c:pt idx="9">
                  <c:v>201910</c:v>
                </c:pt>
                <c:pt idx="10">
                  <c:v>201911</c:v>
                </c:pt>
                <c:pt idx="11">
                  <c:v>201912</c:v>
                </c:pt>
              </c:numCache>
            </c:numRef>
          </c:cat>
          <c:val>
            <c:numRef>
              <c:f>[深房中协房地产中介行业标准指数.xlsx]人员!$D$104:$D$115</c:f>
              <c:numCache>
                <c:formatCode>General</c:formatCode>
                <c:ptCount val="12"/>
                <c:pt idx="0">
                  <c:v>871</c:v>
                </c:pt>
                <c:pt idx="1">
                  <c:v>478</c:v>
                </c:pt>
                <c:pt idx="2">
                  <c:v>2936</c:v>
                </c:pt>
                <c:pt idx="3">
                  <c:v>3216</c:v>
                </c:pt>
                <c:pt idx="4">
                  <c:v>1650</c:v>
                </c:pt>
                <c:pt idx="5">
                  <c:v>1472</c:v>
                </c:pt>
                <c:pt idx="6">
                  <c:v>1818</c:v>
                </c:pt>
                <c:pt idx="7">
                  <c:v>1371</c:v>
                </c:pt>
                <c:pt idx="8">
                  <c:v>1100</c:v>
                </c:pt>
                <c:pt idx="9">
                  <c:v>828</c:v>
                </c:pt>
                <c:pt idx="10">
                  <c:v>854</c:v>
                </c:pt>
                <c:pt idx="11">
                  <c:v>832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1460224"/>
        <c:axId val="161461760"/>
      </c:barChart>
      <c:lineChart>
        <c:grouping val="standard"/>
        <c:varyColors val="0"/>
        <c:ser>
          <c:idx val="3"/>
          <c:order val="2"/>
          <c:tx>
            <c:strRef>
              <c:f>[深房中协房地产中介行业标准指数.xlsx]人员!$E$103</c:f>
              <c:strCache>
                <c:ptCount val="1"/>
                <c:pt idx="0">
                  <c:v>未提升占应提升比例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numRef>
              <c:f>[深房中协房地产中介行业标准指数.xlsx]人员!$B$104:$B$115</c:f>
              <c:numCache>
                <c:formatCode>General</c:formatCode>
                <c:ptCount val="12"/>
                <c:pt idx="0">
                  <c:v>201901</c:v>
                </c:pt>
                <c:pt idx="1">
                  <c:v>201902</c:v>
                </c:pt>
                <c:pt idx="2">
                  <c:v>201903</c:v>
                </c:pt>
                <c:pt idx="3">
                  <c:v>201904</c:v>
                </c:pt>
                <c:pt idx="4">
                  <c:v>201905</c:v>
                </c:pt>
                <c:pt idx="5">
                  <c:v>201906</c:v>
                </c:pt>
                <c:pt idx="6">
                  <c:v>201907</c:v>
                </c:pt>
                <c:pt idx="7">
                  <c:v>201908</c:v>
                </c:pt>
                <c:pt idx="8">
                  <c:v>201909</c:v>
                </c:pt>
                <c:pt idx="9">
                  <c:v>201910</c:v>
                </c:pt>
                <c:pt idx="10">
                  <c:v>201911</c:v>
                </c:pt>
                <c:pt idx="11">
                  <c:v>201912</c:v>
                </c:pt>
              </c:numCache>
            </c:numRef>
          </c:cat>
          <c:val>
            <c:numRef>
              <c:f>[深房中协房地产中介行业标准指数.xlsx]人员!$E$104:$E$115</c:f>
              <c:numCache>
                <c:formatCode>0%</c:formatCode>
                <c:ptCount val="12"/>
                <c:pt idx="0">
                  <c:v>0.72402327514547</c:v>
                </c:pt>
                <c:pt idx="1">
                  <c:v>0.32102081934184</c:v>
                </c:pt>
                <c:pt idx="2">
                  <c:v>0.41586402266289</c:v>
                </c:pt>
                <c:pt idx="3">
                  <c:v>0.297695084698695</c:v>
                </c:pt>
                <c:pt idx="4">
                  <c:v>0.374914792092706</c:v>
                </c:pt>
                <c:pt idx="5">
                  <c:v>0.439534189310242</c:v>
                </c:pt>
                <c:pt idx="6">
                  <c:v>0.432960228625863</c:v>
                </c:pt>
                <c:pt idx="7">
                  <c:v>0.394645941278066</c:v>
                </c:pt>
                <c:pt idx="8">
                  <c:v>0.360419397116645</c:v>
                </c:pt>
                <c:pt idx="9">
                  <c:v>0.235964662296951</c:v>
                </c:pt>
                <c:pt idx="10">
                  <c:v>0.28</c:v>
                </c:pt>
                <c:pt idx="11">
                  <c:v>0.318286151491966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61506048"/>
        <c:axId val="161463296"/>
      </c:lineChart>
      <c:catAx>
        <c:axId val="1614602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1461760"/>
        <c:crosses val="autoZero"/>
        <c:auto val="1"/>
        <c:lblAlgn val="ctr"/>
        <c:lblOffset val="100"/>
        <c:noMultiLvlLbl val="0"/>
      </c:catAx>
      <c:valAx>
        <c:axId val="1614617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1460224"/>
        <c:crosses val="autoZero"/>
        <c:crossBetween val="between"/>
      </c:valAx>
      <c:catAx>
        <c:axId val="1615060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1463296"/>
        <c:crosses val="autoZero"/>
        <c:auto val="1"/>
        <c:lblAlgn val="ctr"/>
        <c:lblOffset val="100"/>
        <c:noMultiLvlLbl val="0"/>
      </c:catAx>
      <c:valAx>
        <c:axId val="161463296"/>
        <c:scaling>
          <c:orientation val="minMax"/>
        </c:scaling>
        <c:delete val="0"/>
        <c:axPos val="r"/>
        <c:numFmt formatCode="0%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1506048"/>
        <c:crosses val="max"/>
        <c:crossBetween val="between"/>
      </c:valAx>
    </c:plotArea>
    <c:legend>
      <c:legendPos val="b"/>
      <c:layout/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6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zh-CN" altLang="en-US" sz="1600"/>
              <a:t>星级人员星级级别分布</a:t>
            </a:r>
            <a:endParaRPr lang="zh-CN" altLang="en-US" sz="1600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[深房中协房地产中介行业标准指数.xlsx]人员!$D$151</c:f>
              <c:strCache>
                <c:ptCount val="1"/>
                <c:pt idx="0">
                  <c:v>2019年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[深房中协房地产中介行业标准指数.xlsx]人员!$C$152:$C$156</c:f>
              <c:strCache>
                <c:ptCount val="5"/>
                <c:pt idx="0">
                  <c:v>一星</c:v>
                </c:pt>
                <c:pt idx="1">
                  <c:v>二星</c:v>
                </c:pt>
                <c:pt idx="2">
                  <c:v>三星</c:v>
                </c:pt>
                <c:pt idx="3">
                  <c:v>四星</c:v>
                </c:pt>
                <c:pt idx="4">
                  <c:v>五星</c:v>
                </c:pt>
              </c:strCache>
            </c:strRef>
          </c:cat>
          <c:val>
            <c:numRef>
              <c:f>[深房中协房地产中介行业标准指数.xlsx]人员!$D$152:$D$156</c:f>
              <c:numCache>
                <c:formatCode>General</c:formatCode>
                <c:ptCount val="5"/>
                <c:pt idx="0">
                  <c:v>44947</c:v>
                </c:pt>
                <c:pt idx="1">
                  <c:v>245</c:v>
                </c:pt>
                <c:pt idx="2">
                  <c:v>154</c:v>
                </c:pt>
                <c:pt idx="3">
                  <c:v>409</c:v>
                </c:pt>
                <c:pt idx="4">
                  <c:v>815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62591104"/>
        <c:axId val="162592640"/>
      </c:barChart>
      <c:catAx>
        <c:axId val="16259110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2592640"/>
        <c:crosses val="autoZero"/>
        <c:auto val="1"/>
        <c:lblAlgn val="ctr"/>
        <c:lblOffset val="100"/>
        <c:noMultiLvlLbl val="0"/>
      </c:catAx>
      <c:valAx>
        <c:axId val="1625926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2591104"/>
        <c:crosses val="autoZero"/>
        <c:crossBetween val="between"/>
        <c:majorUnit val="10000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6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zh-CN" altLang="en-US" sz="1600"/>
              <a:t>星级人员性别分布</a:t>
            </a:r>
            <a:endParaRPr lang="zh-CN" altLang="en-US" sz="1600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[深房中协房地产中介行业标准指数.xlsx]人员!$D$168</c:f>
              <c:strCache>
                <c:ptCount val="1"/>
                <c:pt idx="0">
                  <c:v>2019年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[深房中协房地产中介行业标准指数.xlsx]人员!$C$169:$C$170</c:f>
              <c:strCache>
                <c:ptCount val="2"/>
                <c:pt idx="0">
                  <c:v>男</c:v>
                </c:pt>
                <c:pt idx="1">
                  <c:v>女</c:v>
                </c:pt>
              </c:strCache>
            </c:strRef>
          </c:cat>
          <c:val>
            <c:numRef>
              <c:f>[深房中协房地产中介行业标准指数.xlsx]人员!$D$169:$D$170</c:f>
              <c:numCache>
                <c:formatCode>General</c:formatCode>
                <c:ptCount val="2"/>
                <c:pt idx="0">
                  <c:v>33267</c:v>
                </c:pt>
                <c:pt idx="1">
                  <c:v>13303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62556544"/>
        <c:axId val="162566528"/>
      </c:barChart>
      <c:catAx>
        <c:axId val="162556544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2566528"/>
        <c:crosses val="autoZero"/>
        <c:auto val="1"/>
        <c:lblAlgn val="ctr"/>
        <c:lblOffset val="100"/>
        <c:noMultiLvlLbl val="0"/>
      </c:catAx>
      <c:valAx>
        <c:axId val="16256652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2556544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6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zh-CN" altLang="en-US" sz="1600"/>
              <a:t>星级人员年龄分布</a:t>
            </a:r>
            <a:endParaRPr lang="zh-CN" altLang="en-US" sz="1600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[深房中协房地产中介行业标准指数.xlsx]人员!$D$190</c:f>
              <c:strCache>
                <c:ptCount val="1"/>
                <c:pt idx="0">
                  <c:v>2019年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[深房中协房地产中介行业标准指数.xlsx]人员!$C$191:$C$194</c:f>
              <c:strCache>
                <c:ptCount val="4"/>
                <c:pt idx="0">
                  <c:v>25岁及以下</c:v>
                </c:pt>
                <c:pt idx="1">
                  <c:v>26-35岁</c:v>
                </c:pt>
                <c:pt idx="2">
                  <c:v>36-45岁</c:v>
                </c:pt>
                <c:pt idx="3">
                  <c:v>46岁及以上</c:v>
                </c:pt>
              </c:strCache>
            </c:strRef>
          </c:cat>
          <c:val>
            <c:numRef>
              <c:f>[深房中协房地产中介行业标准指数.xlsx]人员!$D$191:$D$194</c:f>
              <c:numCache>
                <c:formatCode>General</c:formatCode>
                <c:ptCount val="4"/>
                <c:pt idx="0">
                  <c:v>13631</c:v>
                </c:pt>
                <c:pt idx="1">
                  <c:v>23346</c:v>
                </c:pt>
                <c:pt idx="2">
                  <c:v>8130</c:v>
                </c:pt>
                <c:pt idx="3">
                  <c:v>1463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62801536"/>
        <c:axId val="162803072"/>
      </c:barChart>
      <c:catAx>
        <c:axId val="16280153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2803072"/>
        <c:crosses val="autoZero"/>
        <c:auto val="1"/>
        <c:lblAlgn val="ctr"/>
        <c:lblOffset val="100"/>
        <c:noMultiLvlLbl val="0"/>
      </c:catAx>
      <c:valAx>
        <c:axId val="1628030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2801536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6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zh-CN" altLang="en-US" sz="1600"/>
              <a:t>星级人员学历分布</a:t>
            </a:r>
            <a:endParaRPr lang="zh-CN" altLang="en-US" sz="1600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[深房中协房地产中介行业标准指数.xlsx]人员!$D$211</c:f>
              <c:strCache>
                <c:ptCount val="1"/>
                <c:pt idx="0">
                  <c:v>2019年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[深房中协房地产中介行业标准指数.xlsx]人员!$C$212:$C$214</c:f>
              <c:strCache>
                <c:ptCount val="3"/>
                <c:pt idx="0">
                  <c:v>高中及以下</c:v>
                </c:pt>
                <c:pt idx="1">
                  <c:v>大专</c:v>
                </c:pt>
                <c:pt idx="2">
                  <c:v>本科及以上</c:v>
                </c:pt>
              </c:strCache>
            </c:strRef>
          </c:cat>
          <c:val>
            <c:numRef>
              <c:f>[深房中协房地产中介行业标准指数.xlsx]人员!$D$212:$D$214</c:f>
              <c:numCache>
                <c:formatCode>General</c:formatCode>
                <c:ptCount val="3"/>
                <c:pt idx="0">
                  <c:v>32158</c:v>
                </c:pt>
                <c:pt idx="1">
                  <c:v>9007</c:v>
                </c:pt>
                <c:pt idx="2">
                  <c:v>5405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63265920"/>
        <c:axId val="189191296"/>
      </c:barChart>
      <c:catAx>
        <c:axId val="16326592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89191296"/>
        <c:crosses val="autoZero"/>
        <c:auto val="1"/>
        <c:lblAlgn val="ctr"/>
        <c:lblOffset val="100"/>
        <c:noMultiLvlLbl val="0"/>
      </c:catAx>
      <c:valAx>
        <c:axId val="18919129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6326592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6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zh-CN" altLang="en-US" sz="1600"/>
              <a:t>星级人员从业年限分布</a:t>
            </a:r>
            <a:endParaRPr lang="zh-CN" altLang="en-US" sz="1600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[深房中协房地产中介行业标准指数.xlsx]人员!$D$229</c:f>
              <c:strCache>
                <c:ptCount val="1"/>
                <c:pt idx="0">
                  <c:v>2019年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[深房中协房地产中介行业标准指数.xlsx]人员!$C$230:$C$233</c:f>
              <c:strCache>
                <c:ptCount val="4"/>
                <c:pt idx="0">
                  <c:v>不足1年 </c:v>
                </c:pt>
                <c:pt idx="1">
                  <c:v>1-3年</c:v>
                </c:pt>
                <c:pt idx="2">
                  <c:v>4-6年</c:v>
                </c:pt>
                <c:pt idx="3">
                  <c:v>7年及以上</c:v>
                </c:pt>
              </c:strCache>
            </c:strRef>
          </c:cat>
          <c:val>
            <c:numRef>
              <c:f>[深房中协房地产中介行业标准指数.xlsx]人员!$D$230:$D$233</c:f>
              <c:numCache>
                <c:formatCode>General</c:formatCode>
                <c:ptCount val="4"/>
                <c:pt idx="0">
                  <c:v>11319</c:v>
                </c:pt>
                <c:pt idx="1">
                  <c:v>18476</c:v>
                </c:pt>
                <c:pt idx="2">
                  <c:v>9127</c:v>
                </c:pt>
                <c:pt idx="3">
                  <c:v>7648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89629568"/>
        <c:axId val="189631104"/>
      </c:barChart>
      <c:catAx>
        <c:axId val="18962956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89631104"/>
        <c:crosses val="autoZero"/>
        <c:auto val="1"/>
        <c:lblAlgn val="ctr"/>
        <c:lblOffset val="100"/>
        <c:noMultiLvlLbl val="0"/>
      </c:catAx>
      <c:valAx>
        <c:axId val="1896311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89629568"/>
        <c:crosses val="autoZero"/>
        <c:crossBetween val="between"/>
        <c:majorUnit val="5000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zh-CN" sz="16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r>
              <a:rPr lang="zh-CN" altLang="en-US" sz="1600"/>
              <a:t>星级人员籍贯分布</a:t>
            </a:r>
            <a:r>
              <a:rPr lang="en-US" altLang="zh-CN" sz="1600"/>
              <a:t>TOP10</a:t>
            </a:r>
            <a:endParaRPr lang="en-US" altLang="zh-CN" sz="1600"/>
          </a:p>
        </c:rich>
      </c:tx>
      <c:layout/>
      <c:overlay val="0"/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[深房中协房地产中介行业标准指数.xlsx]人员!$D$248</c:f>
              <c:strCache>
                <c:ptCount val="1"/>
                <c:pt idx="0">
                  <c:v>2019年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[深房中协房地产中介行业标准指数.xlsx]人员!$C$249:$C$258</c:f>
              <c:strCache>
                <c:ptCount val="10"/>
                <c:pt idx="0">
                  <c:v>广东</c:v>
                </c:pt>
                <c:pt idx="1">
                  <c:v>湖南</c:v>
                </c:pt>
                <c:pt idx="2">
                  <c:v>江西</c:v>
                </c:pt>
                <c:pt idx="3">
                  <c:v>湖北</c:v>
                </c:pt>
                <c:pt idx="4">
                  <c:v>河南</c:v>
                </c:pt>
                <c:pt idx="5">
                  <c:v>广西</c:v>
                </c:pt>
                <c:pt idx="6">
                  <c:v>四川</c:v>
                </c:pt>
                <c:pt idx="7">
                  <c:v>安徽</c:v>
                </c:pt>
                <c:pt idx="8">
                  <c:v>贵州</c:v>
                </c:pt>
                <c:pt idx="9">
                  <c:v>陕西</c:v>
                </c:pt>
              </c:strCache>
            </c:strRef>
          </c:cat>
          <c:val>
            <c:numRef>
              <c:f>[深房中协房地产中介行业标准指数.xlsx]人员!$D$249:$D$258</c:f>
              <c:numCache>
                <c:formatCode>General</c:formatCode>
                <c:ptCount val="10"/>
                <c:pt idx="0">
                  <c:v>10740</c:v>
                </c:pt>
                <c:pt idx="1">
                  <c:v>6397</c:v>
                </c:pt>
                <c:pt idx="2">
                  <c:v>5361</c:v>
                </c:pt>
                <c:pt idx="3">
                  <c:v>4928</c:v>
                </c:pt>
                <c:pt idx="4">
                  <c:v>3623</c:v>
                </c:pt>
                <c:pt idx="5">
                  <c:v>2925</c:v>
                </c:pt>
                <c:pt idx="6">
                  <c:v>2706</c:v>
                </c:pt>
                <c:pt idx="7">
                  <c:v>1142</c:v>
                </c:pt>
                <c:pt idx="8">
                  <c:v>1120</c:v>
                </c:pt>
                <c:pt idx="9">
                  <c:v>934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90081664"/>
        <c:axId val="190202240"/>
      </c:barChart>
      <c:catAx>
        <c:axId val="190081664"/>
        <c:scaling>
          <c:orientation val="maxMin"/>
        </c:scaling>
        <c:delete val="0"/>
        <c:axPos val="l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90202240"/>
        <c:crosses val="autoZero"/>
        <c:auto val="1"/>
        <c:lblAlgn val="ctr"/>
        <c:lblOffset val="100"/>
        <c:noMultiLvlLbl val="0"/>
      </c:catAx>
      <c:valAx>
        <c:axId val="190202240"/>
        <c:scaling>
          <c:orientation val="minMax"/>
        </c:scaling>
        <c:delete val="0"/>
        <c:axPos val="t"/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90081664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</c:chart>
  <c:txPr>
    <a:bodyPr/>
    <a:lstStyle/>
    <a:p>
      <a:pPr>
        <a:defRPr lang="zh-CN"/>
      </a:pPr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0.00417</cdr:x>
      <cdr:y>0.01389</cdr:y>
    </cdr:from>
    <cdr:to>
      <cdr:x>0.17917</cdr:x>
      <cdr:y>0.09375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19050" y="38100"/>
          <a:ext cx="800100" cy="219072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 b="1"/>
            <a:t>单位：人</a:t>
          </a:r>
          <a:endParaRPr lang="zh-CN" altLang="en-US" sz="1000" b="1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0.175</cdr:x>
      <cdr:y>0.07986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0" y="0"/>
          <a:ext cx="800100" cy="219072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 b="1"/>
            <a:t>单位：人</a:t>
          </a:r>
          <a:endParaRPr lang="zh-CN" altLang="en-US" sz="1000" b="1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0.175</cdr:x>
      <cdr:y>0.07986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0" y="0"/>
          <a:ext cx="800100" cy="219072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 b="1"/>
            <a:t>单位：人</a:t>
          </a:r>
          <a:endParaRPr lang="zh-CN" altLang="en-US" sz="1000" b="1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0.825</cdr:x>
      <cdr:y>0</cdr:y>
    </cdr:from>
    <cdr:to>
      <cdr:x>1</cdr:x>
      <cdr:y>0.07986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3819525" y="0"/>
          <a:ext cx="800100" cy="219072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 b="1"/>
            <a:t>单位：人</a:t>
          </a:r>
          <a:endParaRPr lang="zh-CN" altLang="en-US" sz="1000" b="1"/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0.175</cdr:x>
      <cdr:y>0.07986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0" y="0"/>
          <a:ext cx="800100" cy="219072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 b="1"/>
            <a:t>单位：人</a:t>
          </a:r>
          <a:endParaRPr lang="zh-CN" altLang="en-US" sz="1000" b="1"/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0.175</cdr:x>
      <cdr:y>0.07986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0" y="0"/>
          <a:ext cx="800100" cy="219072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 b="1"/>
            <a:t>单位：人</a:t>
          </a:r>
          <a:endParaRPr lang="zh-CN" altLang="en-US" sz="1000" b="1"/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0.175</cdr:x>
      <cdr:y>0.07986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0" y="0"/>
          <a:ext cx="800100" cy="219072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 b="1"/>
            <a:t>单位：人</a:t>
          </a:r>
          <a:endParaRPr lang="zh-CN" altLang="en-US" sz="1000" b="1"/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0.175</cdr:x>
      <cdr:y>0.07986</cdr:y>
    </cdr:to>
    <cdr:sp>
      <cdr:nvSpPr>
        <cdr:cNvPr id="2" name="矩形 1"/>
        <cdr:cNvSpPr/>
      </cdr:nvSpPr>
      <cdr:spPr xmlns:a="http://schemas.openxmlformats.org/drawingml/2006/main">
        <a:xfrm xmlns:a="http://schemas.openxmlformats.org/drawingml/2006/main">
          <a:off x="0" y="0"/>
          <a:ext cx="800100" cy="219072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="horz" wrap="square" lIns="45720" tIns="45720" rIns="45720" bIns="45720" rtlCol="0" anchor="t" anchorCtr="0">
          <a:normAutofit/>
        </a:bodyPr>
        <a:lstStyle>
          <a:lvl1pPr marL="0" indent="0">
            <a:defRPr sz="1100">
              <a:latin typeface="Calibri" panose="020F0502020204030204"/>
            </a:defRPr>
          </a:lvl1pPr>
          <a:lvl2pPr marL="457200" indent="0">
            <a:defRPr sz="1100">
              <a:latin typeface="Calibri" panose="020F0502020204030204"/>
            </a:defRPr>
          </a:lvl2pPr>
          <a:lvl3pPr marL="914400" indent="0">
            <a:defRPr sz="1100">
              <a:latin typeface="Calibri" panose="020F0502020204030204"/>
            </a:defRPr>
          </a:lvl3pPr>
          <a:lvl4pPr marL="1371600" indent="0">
            <a:defRPr sz="1100">
              <a:latin typeface="Calibri" panose="020F0502020204030204"/>
            </a:defRPr>
          </a:lvl4pPr>
          <a:lvl5pPr marL="1828800" indent="0">
            <a:defRPr sz="1100">
              <a:latin typeface="Calibri" panose="020F0502020204030204"/>
            </a:defRPr>
          </a:lvl5pPr>
          <a:lvl6pPr marL="2286000" indent="0">
            <a:defRPr sz="1100">
              <a:latin typeface="Calibri" panose="020F0502020204030204"/>
            </a:defRPr>
          </a:lvl6pPr>
          <a:lvl7pPr marL="2743200" indent="0">
            <a:defRPr sz="1100">
              <a:latin typeface="Calibri" panose="020F0502020204030204"/>
            </a:defRPr>
          </a:lvl7pPr>
          <a:lvl8pPr marL="3200400" indent="0">
            <a:defRPr sz="1100">
              <a:latin typeface="Calibri" panose="020F0502020204030204"/>
            </a:defRPr>
          </a:lvl8pPr>
          <a:lvl9pPr marL="3657600" indent="0">
            <a:defRPr sz="1100">
              <a:latin typeface="Calibri" panose="020F0502020204030204"/>
            </a:defRPr>
          </a:lvl9pPr>
        </a:lstStyle>
        <a:p>
          <a:r>
            <a:rPr lang="zh-CN" altLang="en-US" sz="1000" b="1"/>
            <a:t>单位：人</a:t>
          </a:r>
          <a:endParaRPr lang="zh-CN" altLang="en-US" sz="1000" b="1"/>
        </a:p>
      </cdr:txBody>
    </cdr:sp>
  </cdr:relSizeAnchor>
</c:userShap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Office_11.1.0.9329_F1E327BC-269C-435d-A152-05C5408002CA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2020-01-19T01:34:00Z</dcterms:created>
  <dc:creator>huah</dc:creator>
  <cp:lastModifiedBy>深房中协—华洪</cp:lastModifiedBy>
  <dcterms:modified xsi:type="dcterms:W3CDTF">2020-01-19T01:52:34Z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2052-11.1.0.9329</vt:lpwstr>
  </property>
</Properties>
</file>