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60" w:lineRule="exact"/>
        <w:jc w:val="center"/>
        <w:rPr>
          <w:rFonts w:ascii="微软雅黑" w:hAnsi="微软雅黑" w:eastAsia="微软雅黑"/>
          <w:color w:val="000000"/>
          <w:sz w:val="42"/>
          <w:szCs w:val="42"/>
        </w:rPr>
      </w:pPr>
      <w:r>
        <w:rPr>
          <w:rFonts w:hint="eastAsia" w:ascii="黑体" w:hAnsi="黑体" w:eastAsia="黑体" w:cs="宋体"/>
          <w:b/>
          <w:bCs/>
          <w:color w:val="000000"/>
          <w:sz w:val="44"/>
          <w:szCs w:val="44"/>
          <w:lang w:val="en-US" w:eastAsia="zh-CN"/>
        </w:rPr>
        <w:t>2019年楼市政策“回忆杀”</w:t>
      </w:r>
    </w:p>
    <w:p>
      <w:pPr>
        <w:shd w:val="clear" w:color="auto" w:fill="FFFFFF"/>
        <w:spacing w:line="560" w:lineRule="exact"/>
        <w:ind w:firstLine="640" w:firstLineChars="200"/>
        <w:rPr>
          <w:rFonts w:hint="eastAsia" w:ascii="仿宋" w:hAnsi="仿宋" w:eastAsia="仿宋"/>
          <w:color w:val="000000"/>
          <w:sz w:val="32"/>
          <w:szCs w:val="32"/>
        </w:rPr>
      </w:pPr>
    </w:p>
    <w:p>
      <w:pPr>
        <w:ind w:firstLine="640" w:firstLineChars="200"/>
        <w:jc w:val="both"/>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2020年已经到来，而对于2019年楼市而言，去年的楼市格外“热闹”，当然这个所谓的“热闹”主要集中在政策出台的数量方面。根据相关机构统计，在“房住不炒”的基本定下，各地遵循“分类调控”原则，全国各地在2019年内，相对密集的出台涉及资金审查或人才引进措施等有关房地产调控的政策多达575次，远超2018年年450次！对此，深房中协根据时间先后顺序，筛选出了部分重要政策一一为各位罗列出来。</w:t>
      </w:r>
    </w:p>
    <w:p>
      <w:pPr>
        <w:ind w:firstLine="640" w:firstLineChars="200"/>
        <w:jc w:val="both"/>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1月24日，广州市发布了《广州市黄埔区广州开发区加快培育和发展住房租赁市场工作方案的通知》文件，指出探索将商业用房等按规定改造成租赁住房，改建后的租赁住房不得销售；</w:t>
      </w:r>
    </w:p>
    <w:p>
      <w:pPr>
        <w:ind w:firstLine="640" w:firstLineChars="200"/>
        <w:jc w:val="both"/>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2月2日，</w:t>
      </w:r>
      <w:r>
        <w:rPr>
          <w:rFonts w:hint="eastAsia" w:ascii="仿宋" w:hAnsi="仿宋" w:eastAsia="仿宋" w:cs="仿宋"/>
          <w:b w:val="0"/>
          <w:color w:val="000000"/>
          <w:sz w:val="32"/>
          <w:szCs w:val="32"/>
          <w:lang w:val="en-US" w:eastAsia="zh-CN" w:bidi="ar-SA"/>
        </w:rPr>
        <w:t>深圳市规自局</w:t>
      </w:r>
      <w:r>
        <w:rPr>
          <w:rFonts w:hint="eastAsia" w:ascii="仿宋" w:hAnsi="仿宋" w:eastAsia="仿宋" w:cs="仿宋"/>
          <w:color w:val="000000"/>
          <w:sz w:val="32"/>
          <w:szCs w:val="32"/>
          <w:lang w:val="en-US" w:eastAsia="zh-CN"/>
        </w:rPr>
        <w:t>发布《深圳市拆除重建类城市更新单元规划容积率审查规定》；</w:t>
      </w:r>
    </w:p>
    <w:p>
      <w:pPr>
        <w:ind w:firstLine="640" w:firstLineChars="200"/>
        <w:jc w:val="both"/>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2月18日，住建部发布《关于&lt;城乡给水工程项目规范&gt;等38项住房和城乡建设领域全文强制性工程建设规范公开征求意见的通知》,拟按套内面积计算，公摊时代或成为历史；</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leftChars="0" w:right="0" w:firstLine="640" w:firstLineChars="200"/>
        <w:jc w:val="both"/>
        <w:rPr>
          <w:rFonts w:hint="eastAsia" w:ascii="仿宋" w:hAnsi="仿宋" w:eastAsia="仿宋" w:cs="仿宋"/>
          <w:b w:val="0"/>
          <w:color w:val="000000"/>
          <w:sz w:val="32"/>
          <w:szCs w:val="32"/>
          <w:lang w:val="en-US" w:eastAsia="zh-CN" w:bidi="ar-SA"/>
        </w:rPr>
      </w:pPr>
      <w:r>
        <w:rPr>
          <w:rFonts w:hint="eastAsia" w:ascii="仿宋" w:hAnsi="仿宋" w:eastAsia="仿宋" w:cs="仿宋"/>
          <w:b w:val="0"/>
          <w:color w:val="000000"/>
          <w:sz w:val="32"/>
          <w:szCs w:val="32"/>
          <w:lang w:val="en-US" w:eastAsia="zh-CN" w:bidi="ar-SA"/>
        </w:rPr>
        <w:t>3月15日，深圳市规自局发布《深圳市拆除重建类城市更新单元计划管理规定》的通知，“工改保”条件小幅放宽；</w:t>
      </w:r>
    </w:p>
    <w:p>
      <w:pPr>
        <w:ind w:firstLine="640" w:firstLineChars="200"/>
        <w:jc w:val="both"/>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val="en-US" w:eastAsia="zh-CN"/>
        </w:rPr>
        <w:t>3月27日，</w:t>
      </w:r>
      <w:r>
        <w:rPr>
          <w:rFonts w:hint="eastAsia" w:ascii="仿宋" w:hAnsi="仿宋" w:eastAsia="仿宋" w:cs="仿宋"/>
          <w:b w:val="0"/>
          <w:color w:val="000000"/>
          <w:sz w:val="32"/>
          <w:szCs w:val="32"/>
          <w:lang w:val="en-US" w:eastAsia="zh-CN" w:bidi="ar-SA"/>
        </w:rPr>
        <w:t>深圳市规自局发布</w:t>
      </w:r>
      <w:r>
        <w:rPr>
          <w:rFonts w:hint="eastAsia" w:ascii="仿宋" w:hAnsi="仿宋" w:eastAsia="仿宋" w:cs="仿宋"/>
          <w:color w:val="000000"/>
          <w:sz w:val="32"/>
          <w:szCs w:val="32"/>
          <w:lang w:eastAsia="zh-CN"/>
        </w:rPr>
        <w:t>《深圳市城中村（旧村）综合整治总体规划（</w:t>
      </w:r>
      <w:r>
        <w:rPr>
          <w:rFonts w:hint="eastAsia" w:ascii="仿宋" w:hAnsi="仿宋" w:eastAsia="仿宋" w:cs="仿宋"/>
          <w:color w:val="000000"/>
          <w:sz w:val="32"/>
          <w:szCs w:val="32"/>
          <w:lang w:val="en-US" w:eastAsia="zh-CN"/>
        </w:rPr>
        <w:t>2019-2025</w:t>
      </w:r>
      <w:r>
        <w:rPr>
          <w:rFonts w:hint="eastAsia" w:ascii="仿宋" w:hAnsi="仿宋" w:eastAsia="仿宋" w:cs="仿宋"/>
          <w:color w:val="000000"/>
          <w:sz w:val="32"/>
          <w:szCs w:val="32"/>
          <w:lang w:eastAsia="zh-CN"/>
        </w:rPr>
        <w:t>）》；</w:t>
      </w:r>
    </w:p>
    <w:p>
      <w:pPr>
        <w:ind w:firstLine="640" w:firstLineChars="200"/>
        <w:jc w:val="both"/>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4月8日，深圳市住建局</w:t>
      </w:r>
      <w:r>
        <w:rPr>
          <w:rFonts w:hint="eastAsia" w:ascii="仿宋" w:hAnsi="仿宋" w:eastAsia="仿宋" w:cs="仿宋"/>
          <w:b w:val="0"/>
          <w:color w:val="000000"/>
          <w:sz w:val="32"/>
          <w:szCs w:val="32"/>
          <w:lang w:val="en-US" w:eastAsia="zh-CN" w:bidi="ar-SA"/>
        </w:rPr>
        <w:t>发布</w:t>
      </w:r>
      <w:r>
        <w:rPr>
          <w:rFonts w:hint="eastAsia" w:ascii="仿宋" w:hAnsi="仿宋" w:eastAsia="仿宋" w:cs="仿宋"/>
          <w:color w:val="000000"/>
          <w:sz w:val="32"/>
          <w:szCs w:val="32"/>
          <w:lang w:val="en-US" w:eastAsia="zh-CN"/>
        </w:rPr>
        <w:t>《深圳市住房和建设局开展房地产市场领域“楼霸”专项整治工作的方案》，对涉及操纵房价、房租、哄抬房价、房租、骗取高额回扣、吃差价、克扣押金等10类楼霸行为予以打击；</w:t>
      </w:r>
    </w:p>
    <w:p>
      <w:pPr>
        <w:ind w:firstLine="640" w:firstLineChars="200"/>
        <w:jc w:val="both"/>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4月29日，《深圳市安居型商品房建设和管理办法》、《深圳市人才住房建设和管理办法》、《深圳市公共租赁住房建设和管理办法》的征求意见同时办发布，保障性住房的覆盖面“扩充延伸”至外来务工人员群体；</w:t>
      </w:r>
    </w:p>
    <w:p>
      <w:pPr>
        <w:ind w:firstLine="640" w:firstLineChars="200"/>
        <w:jc w:val="both"/>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5月5日，国务院发布《关于建立健全城乡融合发展体制机制和政策体系的意见》，提出拟允许村集体在农民自愿的前提下，依法把有偿收回的闲置宅基地、废弃的集体公益性建设用地转变为集体经营性建设用地；</w:t>
      </w:r>
    </w:p>
    <w:p>
      <w:pPr>
        <w:ind w:firstLine="640" w:firstLineChars="200"/>
        <w:jc w:val="both"/>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5月13日，深圳市发布《关于规范已出让未建用地土地用途变更和容积率调整的处置办法</w:t>
      </w:r>
      <w:r>
        <w:rPr>
          <w:rFonts w:hint="eastAsia" w:ascii="仿宋" w:hAnsi="仿宋" w:eastAsia="仿宋" w:cs="仿宋"/>
          <w:color w:val="000000"/>
          <w:sz w:val="32"/>
          <w:szCs w:val="32"/>
          <w:lang w:val="en-US" w:eastAsia="zh-CN"/>
        </w:rPr>
        <w:t>》，闲置商服、工业用地可申请变更为居住用地；</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5月27日，深圳市住建局发布《关于规范产业用房租赁市场稳定租赁价格的若干措施（试行）</w:t>
      </w:r>
      <w:r>
        <w:rPr>
          <w:rFonts w:hint="eastAsia" w:ascii="仿宋" w:hAnsi="仿宋" w:eastAsia="仿宋" w:cs="仿宋"/>
          <w:color w:val="000000"/>
          <w:sz w:val="32"/>
          <w:szCs w:val="32"/>
          <w:lang w:val="en-US" w:eastAsia="zh-CN"/>
        </w:rPr>
        <w:t>》，打击转租行为，并规定产业用房原则上不得出租给个人、房地产经纪机构和未经备案的专业化运营机构；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6月27日，海南省发布《关于进一步完善人才购房政策的补充通知》；</w:t>
      </w:r>
    </w:p>
    <w:p>
      <w:pPr>
        <w:ind w:firstLine="640" w:firstLineChars="200"/>
        <w:jc w:val="both"/>
        <w:rPr>
          <w:rFonts w:hint="eastAsia" w:ascii="仿宋" w:hAnsi="仿宋" w:eastAsia="仿宋" w:cs="仿宋"/>
          <w:color w:val="000000"/>
          <w:sz w:val="32"/>
          <w:szCs w:val="32"/>
          <w:lang w:val="en-US" w:eastAsia="zh-CN" w:bidi="ar-SA"/>
        </w:rPr>
      </w:pPr>
      <w:r>
        <w:rPr>
          <w:rFonts w:hint="eastAsia" w:ascii="仿宋" w:hAnsi="仿宋" w:eastAsia="仿宋" w:cs="仿宋"/>
          <w:color w:val="000000"/>
          <w:sz w:val="32"/>
          <w:szCs w:val="32"/>
          <w:lang w:val="en-US" w:eastAsia="zh-CN"/>
        </w:rPr>
        <w:t>7月12日，国家发改委发布《国家</w:t>
      </w:r>
      <w:r>
        <w:rPr>
          <w:rFonts w:hint="default" w:ascii="仿宋" w:hAnsi="仿宋" w:eastAsia="仿宋" w:cs="仿宋"/>
          <w:color w:val="000000"/>
          <w:sz w:val="32"/>
          <w:szCs w:val="32"/>
          <w:lang w:val="en-US" w:eastAsia="zh-CN"/>
        </w:rPr>
        <w:t>发改委办公厅关于对房地产企业发行外债申请备</w:t>
      </w:r>
      <w:r>
        <w:rPr>
          <w:rFonts w:hint="default" w:ascii="仿宋" w:hAnsi="仿宋" w:eastAsia="仿宋" w:cs="仿宋"/>
          <w:color w:val="000000"/>
          <w:sz w:val="32"/>
          <w:szCs w:val="32"/>
          <w:lang w:val="en-US" w:eastAsia="zh-CN" w:bidi="ar-SA"/>
        </w:rPr>
        <w:t>案登记有关要求的通知》</w:t>
      </w:r>
      <w:r>
        <w:rPr>
          <w:rFonts w:hint="eastAsia" w:ascii="仿宋" w:hAnsi="仿宋" w:eastAsia="仿宋" w:cs="仿宋"/>
          <w:color w:val="000000"/>
          <w:sz w:val="32"/>
          <w:szCs w:val="32"/>
          <w:lang w:val="en-US" w:eastAsia="zh-CN" w:bidi="ar-SA"/>
        </w:rPr>
        <w:t>，规范房企发行外债；</w:t>
      </w:r>
    </w:p>
    <w:p>
      <w:pPr>
        <w:ind w:firstLine="640" w:firstLineChars="200"/>
        <w:jc w:val="both"/>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bidi="ar-SA"/>
        </w:rPr>
        <w:t>7月31日，东莞市住建局发布《关于简化港澳台居民在我市购</w:t>
      </w:r>
      <w:r>
        <w:rPr>
          <w:rFonts w:hint="eastAsia" w:ascii="仿宋" w:hAnsi="仿宋" w:eastAsia="仿宋" w:cs="仿宋"/>
          <w:color w:val="000000"/>
          <w:sz w:val="32"/>
          <w:szCs w:val="32"/>
          <w:lang w:val="en-US" w:eastAsia="zh-CN"/>
        </w:rPr>
        <w:t>房相关资料要求的通知》；</w:t>
      </w:r>
    </w:p>
    <w:p>
      <w:pPr>
        <w:ind w:firstLine="640" w:firstLineChars="200"/>
        <w:jc w:val="both"/>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8月18日，中共中央、国务院发布《关于支持深圳建设中国特色社会主义先行示范区的意见》；</w:t>
      </w:r>
    </w:p>
    <w:p>
      <w:pPr>
        <w:ind w:firstLine="640" w:firstLineChars="200"/>
        <w:jc w:val="both"/>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8月25日，央行发布《关于新发放商业性个人住房贷款利率调整的公告》“基准利率”这个词正式退出历史舞台；</w:t>
      </w:r>
    </w:p>
    <w:p>
      <w:pPr>
        <w:ind w:firstLine="640" w:firstLineChars="200"/>
        <w:jc w:val="both"/>
        <w:rPr>
          <w:rFonts w:hint="eastAsia" w:ascii="仿宋" w:hAnsi="仿宋" w:eastAsia="仿宋" w:cs="仿宋"/>
          <w:color w:val="000000"/>
          <w:sz w:val="32"/>
          <w:szCs w:val="32"/>
          <w:lang w:val="en-US" w:eastAsia="zh-CN" w:bidi="ar-SA"/>
        </w:rPr>
      </w:pPr>
      <w:r>
        <w:rPr>
          <w:rFonts w:hint="eastAsia" w:ascii="仿宋" w:hAnsi="仿宋" w:eastAsia="仿宋" w:cs="仿宋"/>
          <w:color w:val="000000"/>
          <w:sz w:val="32"/>
          <w:szCs w:val="32"/>
          <w:lang w:val="en-US" w:eastAsia="zh-CN"/>
        </w:rPr>
        <w:t>8月3</w:t>
      </w:r>
      <w:r>
        <w:rPr>
          <w:rFonts w:hint="eastAsia" w:ascii="仿宋" w:hAnsi="仿宋" w:eastAsia="仿宋" w:cs="仿宋"/>
          <w:color w:val="000000"/>
          <w:sz w:val="32"/>
          <w:szCs w:val="32"/>
          <w:lang w:val="en-US" w:eastAsia="zh-CN" w:bidi="ar-SA"/>
        </w:rPr>
        <w:t>0日，深圳市住建局发布《深圳市人民政府关于规范住房租赁市场稳定住房租赁价格的意见》，房东不得单方面随意涨房租；</w:t>
      </w:r>
    </w:p>
    <w:p>
      <w:pPr>
        <w:ind w:firstLine="630" w:firstLineChars="200"/>
        <w:jc w:val="both"/>
        <w:rPr>
          <w:rFonts w:ascii="仿宋" w:hAnsi="仿宋" w:eastAsia="仿宋" w:cs="仿宋"/>
          <w:b w:val="0"/>
          <w:i w:val="0"/>
          <w:caps w:val="0"/>
          <w:color w:val="000000"/>
          <w:spacing w:val="0"/>
          <w:sz w:val="31"/>
          <w:szCs w:val="31"/>
          <w:shd w:val="clear" w:fill="FFFFFF"/>
        </w:rPr>
      </w:pPr>
      <w:r>
        <w:rPr>
          <w:rFonts w:ascii="仿宋" w:hAnsi="仿宋" w:eastAsia="仿宋" w:cs="仿宋"/>
          <w:b w:val="0"/>
          <w:i w:val="0"/>
          <w:caps w:val="0"/>
          <w:color w:val="000000"/>
          <w:spacing w:val="0"/>
          <w:sz w:val="31"/>
          <w:szCs w:val="31"/>
        </w:rPr>
        <w:t>11</w:t>
      </w:r>
      <w:r>
        <w:rPr>
          <w:rFonts w:hint="eastAsia" w:ascii="仿宋" w:hAnsi="仿宋" w:eastAsia="仿宋" w:cs="仿宋"/>
          <w:b w:val="0"/>
          <w:i w:val="0"/>
          <w:caps w:val="0"/>
          <w:color w:val="000000"/>
          <w:spacing w:val="0"/>
          <w:sz w:val="31"/>
          <w:szCs w:val="31"/>
        </w:rPr>
        <w:t>月6日</w:t>
      </w:r>
      <w:r>
        <w:rPr>
          <w:rFonts w:hint="eastAsia" w:ascii="仿宋" w:hAnsi="仿宋" w:eastAsia="仿宋" w:cs="仿宋"/>
          <w:b w:val="0"/>
          <w:i w:val="0"/>
          <w:caps w:val="0"/>
          <w:color w:val="000000"/>
          <w:spacing w:val="0"/>
          <w:sz w:val="31"/>
          <w:szCs w:val="31"/>
          <w:lang w:eastAsia="zh-CN"/>
        </w:rPr>
        <w:t>，</w:t>
      </w:r>
      <w:r>
        <w:rPr>
          <w:rFonts w:ascii="仿宋" w:hAnsi="仿宋" w:eastAsia="仿宋" w:cs="仿宋"/>
          <w:b w:val="0"/>
          <w:i w:val="0"/>
          <w:caps w:val="0"/>
          <w:color w:val="000000"/>
          <w:spacing w:val="0"/>
          <w:sz w:val="31"/>
          <w:szCs w:val="31"/>
          <w:shd w:val="clear" w:fill="FFFFFF"/>
        </w:rPr>
        <w:t>香港特区行政长官林郑月娥在粤港澳大湾区建设领导小组会议上，公布了16项有关港人在大湾区发展，就业以及置业的政策措施。</w:t>
      </w:r>
    </w:p>
    <w:p>
      <w:pPr>
        <w:ind w:firstLine="640" w:firstLineChars="200"/>
        <w:jc w:val="both"/>
        <w:rPr>
          <w:rFonts w:hint="eastAsia" w:ascii="仿宋" w:hAnsi="仿宋" w:eastAsia="仿宋" w:cs="仿宋"/>
          <w:b w:val="0"/>
          <w:i w:val="0"/>
          <w:caps w:val="0"/>
          <w:color w:val="000000"/>
          <w:spacing w:val="0"/>
          <w:sz w:val="31"/>
          <w:szCs w:val="31"/>
          <w:shd w:val="clear" w:fill="FFFFFF"/>
          <w:lang w:val="en-US" w:eastAsia="zh-CN"/>
        </w:rPr>
      </w:pPr>
      <w:r>
        <w:rPr>
          <w:rFonts w:hint="eastAsia" w:ascii="仿宋" w:hAnsi="仿宋" w:eastAsia="仿宋"/>
          <w:color w:val="000000"/>
          <w:sz w:val="32"/>
          <w:szCs w:val="32"/>
        </w:rPr>
        <w:t>11月11日</w:t>
      </w:r>
      <w:r>
        <w:rPr>
          <w:rFonts w:hint="eastAsia" w:ascii="仿宋" w:hAnsi="仿宋" w:eastAsia="仿宋"/>
          <w:color w:val="000000"/>
          <w:sz w:val="32"/>
          <w:szCs w:val="32"/>
          <w:lang w:eastAsia="zh-CN"/>
        </w:rPr>
        <w:t>，</w:t>
      </w:r>
      <w:r>
        <w:rPr>
          <w:rFonts w:hint="eastAsia" w:ascii="仿宋" w:hAnsi="仿宋" w:eastAsia="仿宋"/>
          <w:color w:val="000000"/>
          <w:sz w:val="32"/>
          <w:szCs w:val="32"/>
        </w:rPr>
        <w:t>深圳市</w:t>
      </w:r>
      <w:r>
        <w:rPr>
          <w:rFonts w:hint="eastAsia" w:ascii="仿宋" w:hAnsi="仿宋" w:eastAsia="仿宋" w:cs="仿宋"/>
          <w:b w:val="0"/>
          <w:i w:val="0"/>
          <w:caps w:val="0"/>
          <w:color w:val="000000"/>
          <w:spacing w:val="0"/>
          <w:sz w:val="31"/>
          <w:szCs w:val="31"/>
          <w:shd w:val="clear" w:fill="FFFFFF"/>
        </w:rPr>
        <w:t>税务部门</w:t>
      </w:r>
      <w:r>
        <w:rPr>
          <w:rFonts w:ascii="仿宋" w:hAnsi="仿宋" w:eastAsia="仿宋" w:cs="仿宋"/>
          <w:b w:val="0"/>
          <w:i w:val="0"/>
          <w:caps w:val="0"/>
          <w:color w:val="000000"/>
          <w:spacing w:val="0"/>
          <w:sz w:val="31"/>
          <w:szCs w:val="31"/>
          <w:shd w:val="clear" w:fill="FFFFFF"/>
        </w:rPr>
        <w:t>调整豪宅认定标准</w:t>
      </w:r>
      <w:r>
        <w:rPr>
          <w:rFonts w:hint="eastAsia" w:ascii="仿宋" w:hAnsi="仿宋" w:eastAsia="仿宋" w:cs="仿宋"/>
          <w:b w:val="0"/>
          <w:i w:val="0"/>
          <w:caps w:val="0"/>
          <w:color w:val="000000"/>
          <w:spacing w:val="0"/>
          <w:sz w:val="31"/>
          <w:szCs w:val="31"/>
          <w:shd w:val="clear" w:fill="FFFFFF"/>
          <w:lang w:eastAsia="zh-CN"/>
        </w:rPr>
        <w:t>；</w:t>
      </w:r>
    </w:p>
    <w:p>
      <w:pPr>
        <w:ind w:firstLine="620" w:firstLineChars="200"/>
        <w:jc w:val="both"/>
        <w:rPr>
          <w:rFonts w:hint="eastAsia" w:ascii="仿宋" w:hAnsi="仿宋" w:eastAsia="仿宋" w:cs="仿宋"/>
          <w:b w:val="0"/>
          <w:i w:val="0"/>
          <w:caps w:val="0"/>
          <w:color w:val="000000"/>
          <w:spacing w:val="0"/>
          <w:sz w:val="31"/>
          <w:szCs w:val="31"/>
          <w:shd w:val="clear" w:fill="FFFFFF"/>
          <w:lang w:val="en-US" w:eastAsia="zh-CN"/>
        </w:rPr>
      </w:pPr>
      <w:r>
        <w:rPr>
          <w:rFonts w:hint="eastAsia" w:ascii="仿宋" w:hAnsi="仿宋" w:eastAsia="仿宋" w:cs="仿宋"/>
          <w:b w:val="0"/>
          <w:i w:val="0"/>
          <w:caps w:val="0"/>
          <w:color w:val="000000"/>
          <w:spacing w:val="0"/>
          <w:sz w:val="31"/>
          <w:szCs w:val="31"/>
          <w:shd w:val="clear" w:fill="FFFFFF"/>
          <w:lang w:val="en-US" w:eastAsia="zh-CN"/>
        </w:rPr>
        <w:t>11月16日，央行发布《2019年第三季度货币政策执行报</w:t>
      </w:r>
      <w:r>
        <w:rPr>
          <w:rFonts w:hint="eastAsia" w:ascii="仿宋" w:hAnsi="仿宋" w:eastAsia="仿宋" w:cs="仿宋"/>
          <w:b w:val="0"/>
          <w:i w:val="0"/>
          <w:caps w:val="0"/>
          <w:color w:val="000000"/>
          <w:spacing w:val="0"/>
          <w:sz w:val="31"/>
          <w:szCs w:val="31"/>
          <w:shd w:val="clear" w:fill="FFFFFF"/>
          <w:lang w:val="en-US" w:eastAsia="zh-CN"/>
        </w:rPr>
        <w:t>告》，明确不将房地产作为短期刺激经济的手段；</w:t>
      </w:r>
    </w:p>
    <w:p>
      <w:pPr>
        <w:ind w:firstLine="630" w:firstLineChars="200"/>
        <w:jc w:val="both"/>
        <w:rPr>
          <w:rFonts w:hint="eastAsia" w:ascii="仿宋" w:hAnsi="仿宋" w:eastAsia="仿宋" w:cs="仿宋"/>
          <w:b w:val="0"/>
          <w:i w:val="0"/>
          <w:caps w:val="0"/>
          <w:color w:val="000000"/>
          <w:spacing w:val="0"/>
          <w:sz w:val="31"/>
          <w:szCs w:val="31"/>
          <w:shd w:val="clear" w:fill="FFFFFF"/>
          <w:lang w:val="en-US" w:eastAsia="zh-CN"/>
        </w:rPr>
      </w:pPr>
      <w:r>
        <w:rPr>
          <w:rFonts w:hint="eastAsia" w:ascii="仿宋" w:hAnsi="仿宋" w:eastAsia="仿宋" w:cs="仿宋"/>
          <w:b w:val="0"/>
          <w:i w:val="0"/>
          <w:caps w:val="0"/>
          <w:color w:val="000000"/>
          <w:spacing w:val="0"/>
          <w:sz w:val="31"/>
          <w:szCs w:val="31"/>
          <w:shd w:val="clear" w:fill="FFFFFF"/>
          <w:lang w:val="en-US" w:eastAsia="zh-CN"/>
        </w:rPr>
        <w:t>11月29日，佛山市发布《关于进一步完善人才住房政策的补充通知》；</w:t>
      </w:r>
    </w:p>
    <w:p>
      <w:pPr>
        <w:ind w:firstLine="630" w:firstLineChars="200"/>
        <w:jc w:val="both"/>
        <w:rPr>
          <w:rFonts w:hint="eastAsia" w:ascii="仿宋" w:hAnsi="仿宋" w:eastAsia="仿宋" w:cs="仿宋"/>
          <w:b w:val="0"/>
          <w:i w:val="0"/>
          <w:caps w:val="0"/>
          <w:color w:val="000000"/>
          <w:spacing w:val="0"/>
          <w:sz w:val="31"/>
          <w:szCs w:val="31"/>
          <w:shd w:val="clear" w:fill="FFFFFF"/>
          <w:lang w:val="en-US" w:eastAsia="zh-CN"/>
        </w:rPr>
      </w:pPr>
      <w:r>
        <w:rPr>
          <w:rFonts w:hint="eastAsia" w:ascii="仿宋" w:hAnsi="仿宋" w:eastAsia="仿宋" w:cs="仿宋"/>
          <w:b w:val="0"/>
          <w:i w:val="0"/>
          <w:caps w:val="0"/>
          <w:color w:val="000000"/>
          <w:spacing w:val="0"/>
          <w:sz w:val="31"/>
          <w:szCs w:val="31"/>
          <w:shd w:val="clear" w:fill="FFFFFF"/>
          <w:lang w:val="en-US" w:eastAsia="zh-CN"/>
        </w:rPr>
        <w:t>12月7日，深圳发布《前海贯彻落实“粤港澳大湾区建设领导小组会议关于惠及港澳居民的政策措施”行动计划》；</w:t>
      </w:r>
    </w:p>
    <w:p>
      <w:pPr>
        <w:ind w:firstLine="630" w:firstLineChars="200"/>
        <w:jc w:val="both"/>
        <w:rPr>
          <w:rFonts w:hint="eastAsia" w:ascii="仿宋" w:hAnsi="仿宋" w:eastAsia="仿宋" w:cs="仿宋"/>
          <w:b w:val="0"/>
          <w:i w:val="0"/>
          <w:caps w:val="0"/>
          <w:color w:val="000000"/>
          <w:spacing w:val="0"/>
          <w:sz w:val="31"/>
          <w:szCs w:val="31"/>
          <w:shd w:val="clear" w:fill="FFFFFF"/>
          <w:lang w:val="en-US" w:eastAsia="zh-CN"/>
        </w:rPr>
      </w:pPr>
      <w:r>
        <w:rPr>
          <w:rFonts w:hint="eastAsia" w:ascii="仿宋" w:hAnsi="仿宋" w:eastAsia="仿宋" w:cs="仿宋"/>
          <w:b w:val="0"/>
          <w:i w:val="0"/>
          <w:caps w:val="0"/>
          <w:color w:val="000000"/>
          <w:spacing w:val="0"/>
          <w:sz w:val="31"/>
          <w:szCs w:val="31"/>
          <w:shd w:val="clear" w:fill="FFFFFF"/>
          <w:lang w:val="en-US" w:eastAsia="zh-CN"/>
        </w:rPr>
        <w:t>12月12日，深圳市住建局</w:t>
      </w:r>
      <w:r>
        <w:rPr>
          <w:rFonts w:hint="eastAsia" w:ascii="仿宋" w:hAnsi="仿宋" w:eastAsia="仿宋" w:cs="仿宋"/>
          <w:b w:val="0"/>
          <w:i w:val="0"/>
          <w:caps w:val="0"/>
          <w:color w:val="000000"/>
          <w:spacing w:val="0"/>
          <w:sz w:val="31"/>
          <w:szCs w:val="31"/>
          <w:shd w:val="clear" w:fill="FFFFFF"/>
          <w:lang w:val="en-US" w:eastAsia="zh-CN"/>
        </w:rPr>
        <w:t>发布</w:t>
      </w:r>
      <w:r>
        <w:rPr>
          <w:rFonts w:hint="eastAsia" w:ascii="仿宋" w:hAnsi="仿宋" w:eastAsia="仿宋"/>
          <w:color w:val="000000"/>
          <w:sz w:val="32"/>
          <w:szCs w:val="32"/>
        </w:rPr>
        <w:t>《深圳市住房和建设局关于调整普通住房标准及商务公寓政策的报告》</w:t>
      </w:r>
      <w:r>
        <w:rPr>
          <w:rFonts w:hint="eastAsia" w:ascii="仿宋" w:hAnsi="仿宋" w:eastAsia="仿宋"/>
          <w:color w:val="000000"/>
          <w:sz w:val="32"/>
          <w:szCs w:val="32"/>
          <w:lang w:eastAsia="zh-CN"/>
        </w:rPr>
        <w:t>，</w:t>
      </w:r>
      <w:r>
        <w:rPr>
          <w:rFonts w:hint="eastAsia" w:ascii="仿宋" w:hAnsi="仿宋" w:eastAsia="仿宋"/>
          <w:color w:val="000000"/>
          <w:sz w:val="32"/>
          <w:szCs w:val="32"/>
        </w:rPr>
        <w:t>取消了2018 年“深四条”中关于商务公寓“只</w:t>
      </w:r>
      <w:bookmarkStart w:id="0" w:name="_GoBack"/>
      <w:bookmarkEnd w:id="0"/>
      <w:r>
        <w:rPr>
          <w:rFonts w:hint="eastAsia" w:ascii="仿宋" w:hAnsi="仿宋" w:eastAsia="仿宋"/>
          <w:color w:val="000000"/>
          <w:sz w:val="32"/>
          <w:szCs w:val="32"/>
        </w:rPr>
        <w:t>租不售”的限制</w:t>
      </w:r>
      <w:r>
        <w:rPr>
          <w:rFonts w:hint="eastAsia" w:ascii="仿宋" w:hAnsi="仿宋" w:eastAsia="仿宋"/>
          <w:color w:val="000000"/>
          <w:sz w:val="32"/>
          <w:szCs w:val="32"/>
          <w:lang w:eastAsia="zh-CN"/>
        </w:rPr>
        <w:t>；</w:t>
      </w:r>
    </w:p>
    <w:p>
      <w:pPr>
        <w:ind w:firstLine="630" w:firstLineChars="200"/>
        <w:jc w:val="both"/>
        <w:rPr>
          <w:rFonts w:hint="default" w:ascii="仿宋" w:hAnsi="仿宋" w:eastAsia="仿宋" w:cs="仿宋"/>
          <w:b w:val="0"/>
          <w:i w:val="0"/>
          <w:caps w:val="0"/>
          <w:color w:val="000000"/>
          <w:spacing w:val="0"/>
          <w:sz w:val="31"/>
          <w:szCs w:val="31"/>
          <w:shd w:val="clear" w:fill="FFFFFF"/>
          <w:lang w:val="en-US" w:eastAsia="zh-CN"/>
        </w:rPr>
      </w:pPr>
      <w:r>
        <w:rPr>
          <w:rFonts w:hint="eastAsia" w:ascii="仿宋" w:hAnsi="仿宋" w:eastAsia="仿宋" w:cs="仿宋"/>
          <w:b w:val="0"/>
          <w:i w:val="0"/>
          <w:caps w:val="0"/>
          <w:color w:val="000000"/>
          <w:spacing w:val="0"/>
          <w:sz w:val="31"/>
          <w:szCs w:val="31"/>
          <w:shd w:val="clear" w:fill="FFFFFF"/>
          <w:lang w:val="en-US" w:eastAsia="zh-CN"/>
        </w:rPr>
        <w:t>12月13日，住建部等6部委联合发布《关于整顿规范住房租赁市场秩序的意见》。</w:t>
      </w:r>
    </w:p>
    <w:p>
      <w:pPr>
        <w:ind w:firstLine="630" w:firstLineChars="200"/>
        <w:jc w:val="both"/>
        <w:rPr>
          <w:rFonts w:hint="default" w:ascii="仿宋" w:hAnsi="仿宋" w:eastAsia="仿宋" w:cs="仿宋"/>
          <w:b w:val="0"/>
          <w:i w:val="0"/>
          <w:caps w:val="0"/>
          <w:color w:val="000000"/>
          <w:spacing w:val="0"/>
          <w:sz w:val="31"/>
          <w:szCs w:val="31"/>
          <w:shd w:val="clear" w:fill="FFFFFF"/>
          <w:lang w:val="en-US" w:eastAsia="zh-CN"/>
        </w:rPr>
      </w:pPr>
    </w:p>
    <w:p>
      <w:pPr>
        <w:ind w:firstLine="630" w:firstLineChars="200"/>
        <w:jc w:val="both"/>
        <w:rPr>
          <w:rFonts w:hint="default" w:ascii="仿宋" w:hAnsi="仿宋" w:eastAsia="仿宋" w:cs="仿宋"/>
          <w:b w:val="0"/>
          <w:i w:val="0"/>
          <w:caps w:val="0"/>
          <w:color w:val="000000"/>
          <w:spacing w:val="0"/>
          <w:sz w:val="31"/>
          <w:szCs w:val="31"/>
          <w:shd w:val="clear" w:fill="FFFFFF"/>
          <w:lang w:val="en-US" w:eastAsia="zh-CN"/>
        </w:rPr>
      </w:pPr>
    </w:p>
    <w:sectPr>
      <w:pgSz w:w="11906" w:h="16838"/>
      <w:pgMar w:top="1701" w:right="1701" w:bottom="1588" w:left="1701" w:header="851" w:footer="113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rsids>
    <w:rsidRoot w:val="00271C3A"/>
    <w:rsid w:val="00011B79"/>
    <w:rsid w:val="000158CB"/>
    <w:rsid w:val="000308AC"/>
    <w:rsid w:val="00030D82"/>
    <w:rsid w:val="0004404A"/>
    <w:rsid w:val="000B695C"/>
    <w:rsid w:val="000D1E4B"/>
    <w:rsid w:val="000E4CCF"/>
    <w:rsid w:val="000F0197"/>
    <w:rsid w:val="000F4389"/>
    <w:rsid w:val="000F489A"/>
    <w:rsid w:val="000F6888"/>
    <w:rsid w:val="00134C87"/>
    <w:rsid w:val="00142E3C"/>
    <w:rsid w:val="001636D5"/>
    <w:rsid w:val="00167743"/>
    <w:rsid w:val="00193382"/>
    <w:rsid w:val="001C3CF5"/>
    <w:rsid w:val="001D0A26"/>
    <w:rsid w:val="001E14E9"/>
    <w:rsid w:val="001F506E"/>
    <w:rsid w:val="002300A7"/>
    <w:rsid w:val="00231AAA"/>
    <w:rsid w:val="002478D1"/>
    <w:rsid w:val="00271C3A"/>
    <w:rsid w:val="002B13FD"/>
    <w:rsid w:val="002D3D00"/>
    <w:rsid w:val="002D45D9"/>
    <w:rsid w:val="002D5A14"/>
    <w:rsid w:val="002D6F9E"/>
    <w:rsid w:val="00300E15"/>
    <w:rsid w:val="00332637"/>
    <w:rsid w:val="00343FEF"/>
    <w:rsid w:val="0034648C"/>
    <w:rsid w:val="00346516"/>
    <w:rsid w:val="00371AFF"/>
    <w:rsid w:val="003C0C17"/>
    <w:rsid w:val="003E5D0F"/>
    <w:rsid w:val="003F524B"/>
    <w:rsid w:val="00405ABA"/>
    <w:rsid w:val="00432F06"/>
    <w:rsid w:val="00436526"/>
    <w:rsid w:val="00462B03"/>
    <w:rsid w:val="00470B60"/>
    <w:rsid w:val="00477AB2"/>
    <w:rsid w:val="004C45B2"/>
    <w:rsid w:val="004E6EB2"/>
    <w:rsid w:val="005123B5"/>
    <w:rsid w:val="005261CE"/>
    <w:rsid w:val="00532E85"/>
    <w:rsid w:val="00567EED"/>
    <w:rsid w:val="005861A1"/>
    <w:rsid w:val="00587D47"/>
    <w:rsid w:val="00591213"/>
    <w:rsid w:val="00597624"/>
    <w:rsid w:val="005A4B90"/>
    <w:rsid w:val="005C385C"/>
    <w:rsid w:val="005D0835"/>
    <w:rsid w:val="005E3491"/>
    <w:rsid w:val="005F61E1"/>
    <w:rsid w:val="00606153"/>
    <w:rsid w:val="00614891"/>
    <w:rsid w:val="006265A6"/>
    <w:rsid w:val="00627278"/>
    <w:rsid w:val="006274E0"/>
    <w:rsid w:val="00631BEF"/>
    <w:rsid w:val="006323F4"/>
    <w:rsid w:val="006415D8"/>
    <w:rsid w:val="00666021"/>
    <w:rsid w:val="00692539"/>
    <w:rsid w:val="006A0660"/>
    <w:rsid w:val="006C0566"/>
    <w:rsid w:val="006D0442"/>
    <w:rsid w:val="006D0D2B"/>
    <w:rsid w:val="006E14C6"/>
    <w:rsid w:val="006E778C"/>
    <w:rsid w:val="006F1752"/>
    <w:rsid w:val="006F51AE"/>
    <w:rsid w:val="00736831"/>
    <w:rsid w:val="00746B73"/>
    <w:rsid w:val="00784C3D"/>
    <w:rsid w:val="007B7706"/>
    <w:rsid w:val="007C4CDF"/>
    <w:rsid w:val="007F0238"/>
    <w:rsid w:val="007F60FE"/>
    <w:rsid w:val="00851769"/>
    <w:rsid w:val="00877E1E"/>
    <w:rsid w:val="00881EC2"/>
    <w:rsid w:val="008A2C9B"/>
    <w:rsid w:val="008C7C33"/>
    <w:rsid w:val="008C7D60"/>
    <w:rsid w:val="00903586"/>
    <w:rsid w:val="00907ECD"/>
    <w:rsid w:val="00915447"/>
    <w:rsid w:val="00927557"/>
    <w:rsid w:val="009820EE"/>
    <w:rsid w:val="009914A5"/>
    <w:rsid w:val="009C131E"/>
    <w:rsid w:val="009D06CC"/>
    <w:rsid w:val="009F5FF4"/>
    <w:rsid w:val="00A1166B"/>
    <w:rsid w:val="00A135C3"/>
    <w:rsid w:val="00A21506"/>
    <w:rsid w:val="00A30547"/>
    <w:rsid w:val="00A45599"/>
    <w:rsid w:val="00A46010"/>
    <w:rsid w:val="00A554DD"/>
    <w:rsid w:val="00A57C56"/>
    <w:rsid w:val="00A73DFC"/>
    <w:rsid w:val="00A779CD"/>
    <w:rsid w:val="00A9320E"/>
    <w:rsid w:val="00A966EE"/>
    <w:rsid w:val="00AA2B9A"/>
    <w:rsid w:val="00AA512E"/>
    <w:rsid w:val="00AC7B69"/>
    <w:rsid w:val="00AE1F67"/>
    <w:rsid w:val="00AF1B82"/>
    <w:rsid w:val="00AF7C74"/>
    <w:rsid w:val="00B256B5"/>
    <w:rsid w:val="00B26DE3"/>
    <w:rsid w:val="00B46AA8"/>
    <w:rsid w:val="00B500A1"/>
    <w:rsid w:val="00B672E8"/>
    <w:rsid w:val="00BD2F55"/>
    <w:rsid w:val="00BE478C"/>
    <w:rsid w:val="00BF22B6"/>
    <w:rsid w:val="00BF2C0B"/>
    <w:rsid w:val="00C04B61"/>
    <w:rsid w:val="00C14F2A"/>
    <w:rsid w:val="00C5619F"/>
    <w:rsid w:val="00C8064C"/>
    <w:rsid w:val="00C9630D"/>
    <w:rsid w:val="00CA34A3"/>
    <w:rsid w:val="00CB3414"/>
    <w:rsid w:val="00CC19C2"/>
    <w:rsid w:val="00CC264D"/>
    <w:rsid w:val="00CF09D7"/>
    <w:rsid w:val="00D428D0"/>
    <w:rsid w:val="00D51F5C"/>
    <w:rsid w:val="00D60673"/>
    <w:rsid w:val="00D62FA9"/>
    <w:rsid w:val="00D84D02"/>
    <w:rsid w:val="00DA4068"/>
    <w:rsid w:val="00DF1E8E"/>
    <w:rsid w:val="00E07924"/>
    <w:rsid w:val="00E22985"/>
    <w:rsid w:val="00E403DA"/>
    <w:rsid w:val="00E446DE"/>
    <w:rsid w:val="00E52583"/>
    <w:rsid w:val="00E54B01"/>
    <w:rsid w:val="00E66D1D"/>
    <w:rsid w:val="00E84735"/>
    <w:rsid w:val="00E9275F"/>
    <w:rsid w:val="00EB27A3"/>
    <w:rsid w:val="00ED4547"/>
    <w:rsid w:val="00F24885"/>
    <w:rsid w:val="00F511D2"/>
    <w:rsid w:val="00F74BFE"/>
    <w:rsid w:val="00FA7772"/>
    <w:rsid w:val="00FB1C8C"/>
    <w:rsid w:val="00FD6437"/>
    <w:rsid w:val="00FF1D13"/>
    <w:rsid w:val="3EBF79A6"/>
    <w:rsid w:val="472B3DA6"/>
  </w:rsids>
  <m:mathPr>
    <m:mathFont m:val="Cambria Math"/>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nhideWhenUsed="0" w:uiPriority="8" w:semiHidden="0" w:name="heading 2"/>
    <w:lsdException w:qFormat="1" w:unhideWhenUsed="0" w:uiPriority="9" w:semiHidden="0" w:name="heading 3"/>
    <w:lsdException w:qFormat="1" w:unhideWhenUsed="0" w:uiPriority="10" w:semiHidden="0" w:name="heading 4"/>
    <w:lsdException w:qFormat="1" w:unhideWhenUsed="0" w:uiPriority="11" w:semiHidden="0" w:name="heading 5"/>
    <w:lsdException w:qFormat="1" w:unhideWhenUsed="0" w:uiPriority="12" w:semiHidden="0" w:name="heading 6"/>
    <w:lsdException w:qFormat="1" w:unhideWhenUsed="0" w:uiPriority="13" w:semiHidden="0" w:name="heading 7"/>
    <w:lsdException w:qFormat="1" w:unhideWhenUsed="0" w:uiPriority="14" w:semiHidden="0" w:name="heading 8"/>
    <w:lsdException w:qFormat="1" w:unhideWhenUsed="0" w:uiPriority="15"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28" w:semiHidden="0" w:name="toc 1"/>
    <w:lsdException w:qFormat="1" w:uiPriority="29" w:semiHidden="0" w:name="toc 2"/>
    <w:lsdException w:qFormat="1" w:uiPriority="30" w:semiHidden="0" w:name="toc 3"/>
    <w:lsdException w:qFormat="1" w:uiPriority="31" w:semiHidden="0" w:name="toc 4"/>
    <w:lsdException w:qFormat="1" w:uiPriority="32" w:semiHidden="0" w:name="toc 5"/>
    <w:lsdException w:qFormat="1" w:uiPriority="33" w:semiHidden="0" w:name="toc 6"/>
    <w:lsdException w:qFormat="1" w:uiPriority="34" w:semiHidden="0" w:name="toc 7"/>
    <w:lsdException w:qFormat="1" w:uiPriority="35" w:semiHidden="0" w:name="toc 8"/>
    <w:lsdException w:qFormat="1" w:uiPriority="36" w:semiHidden="0"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6"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6"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18"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unhideWhenUsed="0" w:uiPriority="37" w:semiHidden="0" w:name="Table Grid"/>
    <w:lsdException w:uiPriority="99" w:name="Table Theme"/>
    <w:lsdException w:unhideWhenUsed="0" w:uiPriority="0" w:name="Placeholder Text"/>
    <w:lsdException w:qFormat="1" w:unhideWhenUsed="0" w:uiPriority="5"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1" w:semiHidden="0" w:name="Quote"/>
    <w:lsdException w:qFormat="1" w:unhideWhenUsed="0" w:uiPriority="22"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jc w:val="both"/>
    </w:pPr>
    <w:rPr>
      <w:rFonts w:ascii="Calibri" w:hAnsi="Calibri" w:eastAsia="宋体" w:cs="Times New Roman"/>
      <w:sz w:val="21"/>
      <w:szCs w:val="21"/>
      <w:lang w:val="en-US" w:eastAsia="zh-CN" w:bidi="ar-SA"/>
    </w:rPr>
  </w:style>
  <w:style w:type="paragraph" w:styleId="2">
    <w:name w:val="heading 1"/>
    <w:next w:val="1"/>
    <w:qFormat/>
    <w:uiPriority w:val="7"/>
    <w:pPr>
      <w:jc w:val="both"/>
      <w:outlineLvl w:val="0"/>
    </w:pPr>
    <w:rPr>
      <w:rFonts w:ascii="Calibri" w:hAnsi="Calibri" w:eastAsia="宋体" w:cs="Times New Roman"/>
      <w:sz w:val="28"/>
      <w:szCs w:val="28"/>
      <w:lang w:val="en-US" w:eastAsia="zh-CN" w:bidi="ar-SA"/>
    </w:rPr>
  </w:style>
  <w:style w:type="paragraph" w:styleId="3">
    <w:name w:val="heading 2"/>
    <w:next w:val="1"/>
    <w:qFormat/>
    <w:uiPriority w:val="8"/>
    <w:pPr>
      <w:jc w:val="both"/>
      <w:outlineLvl w:val="1"/>
    </w:pPr>
    <w:rPr>
      <w:rFonts w:ascii="Calibri" w:hAnsi="Calibri" w:eastAsia="宋体" w:cs="Times New Roman"/>
      <w:sz w:val="21"/>
      <w:szCs w:val="21"/>
      <w:lang w:val="en-US" w:eastAsia="zh-CN" w:bidi="ar-SA"/>
    </w:rPr>
  </w:style>
  <w:style w:type="paragraph" w:styleId="4">
    <w:name w:val="heading 3"/>
    <w:next w:val="1"/>
    <w:qFormat/>
    <w:uiPriority w:val="9"/>
    <w:pPr>
      <w:ind w:left="1000" w:hanging="400"/>
      <w:jc w:val="both"/>
      <w:outlineLvl w:val="2"/>
    </w:pPr>
    <w:rPr>
      <w:rFonts w:ascii="Calibri" w:hAnsi="Calibri" w:eastAsia="宋体" w:cs="Times New Roman"/>
      <w:sz w:val="21"/>
      <w:szCs w:val="21"/>
      <w:lang w:val="en-US" w:eastAsia="zh-CN" w:bidi="ar-SA"/>
    </w:rPr>
  </w:style>
  <w:style w:type="paragraph" w:styleId="5">
    <w:name w:val="heading 4"/>
    <w:next w:val="1"/>
    <w:qFormat/>
    <w:uiPriority w:val="10"/>
    <w:pPr>
      <w:ind w:left="1200" w:hanging="400"/>
      <w:jc w:val="both"/>
      <w:outlineLvl w:val="3"/>
    </w:pPr>
    <w:rPr>
      <w:rFonts w:ascii="Calibri" w:hAnsi="Calibri" w:eastAsia="宋体" w:cs="Times New Roman"/>
      <w:b/>
      <w:sz w:val="21"/>
      <w:szCs w:val="21"/>
      <w:lang w:val="en-US" w:eastAsia="zh-CN" w:bidi="ar-SA"/>
    </w:rPr>
  </w:style>
  <w:style w:type="paragraph" w:styleId="6">
    <w:name w:val="heading 5"/>
    <w:next w:val="1"/>
    <w:qFormat/>
    <w:uiPriority w:val="11"/>
    <w:pPr>
      <w:ind w:left="1400" w:hanging="400"/>
      <w:jc w:val="both"/>
      <w:outlineLvl w:val="4"/>
    </w:pPr>
    <w:rPr>
      <w:rFonts w:ascii="Calibri" w:hAnsi="Calibri" w:eastAsia="宋体" w:cs="Times New Roman"/>
      <w:sz w:val="21"/>
      <w:szCs w:val="21"/>
      <w:lang w:val="en-US" w:eastAsia="zh-CN" w:bidi="ar-SA"/>
    </w:rPr>
  </w:style>
  <w:style w:type="paragraph" w:styleId="7">
    <w:name w:val="heading 6"/>
    <w:next w:val="1"/>
    <w:qFormat/>
    <w:uiPriority w:val="12"/>
    <w:pPr>
      <w:ind w:left="1600" w:hanging="400"/>
      <w:jc w:val="both"/>
      <w:outlineLvl w:val="5"/>
    </w:pPr>
    <w:rPr>
      <w:rFonts w:ascii="Calibri" w:hAnsi="Calibri" w:eastAsia="宋体" w:cs="Times New Roman"/>
      <w:b/>
      <w:sz w:val="21"/>
      <w:szCs w:val="21"/>
      <w:lang w:val="en-US" w:eastAsia="zh-CN" w:bidi="ar-SA"/>
    </w:rPr>
  </w:style>
  <w:style w:type="paragraph" w:styleId="8">
    <w:name w:val="heading 7"/>
    <w:next w:val="1"/>
    <w:qFormat/>
    <w:uiPriority w:val="13"/>
    <w:pPr>
      <w:ind w:left="1800" w:hanging="400"/>
      <w:jc w:val="both"/>
      <w:outlineLvl w:val="6"/>
    </w:pPr>
    <w:rPr>
      <w:rFonts w:ascii="Calibri" w:hAnsi="Calibri" w:eastAsia="宋体" w:cs="Times New Roman"/>
      <w:sz w:val="21"/>
      <w:szCs w:val="21"/>
      <w:lang w:val="en-US" w:eastAsia="zh-CN" w:bidi="ar-SA"/>
    </w:rPr>
  </w:style>
  <w:style w:type="paragraph" w:styleId="9">
    <w:name w:val="heading 8"/>
    <w:next w:val="1"/>
    <w:qFormat/>
    <w:uiPriority w:val="14"/>
    <w:pPr>
      <w:ind w:left="2000" w:hanging="400"/>
      <w:jc w:val="both"/>
      <w:outlineLvl w:val="7"/>
    </w:pPr>
    <w:rPr>
      <w:rFonts w:ascii="Calibri" w:hAnsi="Calibri" w:eastAsia="宋体" w:cs="Times New Roman"/>
      <w:sz w:val="21"/>
      <w:szCs w:val="21"/>
      <w:lang w:val="en-US" w:eastAsia="zh-CN" w:bidi="ar-SA"/>
    </w:rPr>
  </w:style>
  <w:style w:type="paragraph" w:styleId="10">
    <w:name w:val="heading 9"/>
    <w:next w:val="1"/>
    <w:qFormat/>
    <w:uiPriority w:val="15"/>
    <w:pPr>
      <w:ind w:left="2200" w:hanging="400"/>
      <w:jc w:val="both"/>
      <w:outlineLvl w:val="8"/>
    </w:pPr>
    <w:rPr>
      <w:rFonts w:ascii="Calibri" w:hAnsi="Calibri" w:eastAsia="宋体" w:cs="Times New Roman"/>
      <w:sz w:val="21"/>
      <w:szCs w:val="21"/>
      <w:lang w:val="en-US" w:eastAsia="zh-CN" w:bidi="ar-SA"/>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next w:val="1"/>
    <w:unhideWhenUsed/>
    <w:qFormat/>
    <w:uiPriority w:val="34"/>
    <w:pPr>
      <w:ind w:left="2550"/>
      <w:jc w:val="both"/>
    </w:pPr>
    <w:rPr>
      <w:rFonts w:ascii="Calibri" w:hAnsi="Calibri" w:eastAsia="宋体" w:cs="Times New Roman"/>
      <w:sz w:val="21"/>
      <w:szCs w:val="21"/>
      <w:lang w:val="en-US" w:eastAsia="zh-CN" w:bidi="ar-SA"/>
    </w:rPr>
  </w:style>
  <w:style w:type="paragraph" w:styleId="12">
    <w:name w:val="toc 5"/>
    <w:next w:val="1"/>
    <w:unhideWhenUsed/>
    <w:qFormat/>
    <w:uiPriority w:val="32"/>
    <w:pPr>
      <w:ind w:left="1700"/>
      <w:jc w:val="both"/>
    </w:pPr>
    <w:rPr>
      <w:rFonts w:ascii="Calibri" w:hAnsi="Calibri" w:eastAsia="宋体" w:cs="Times New Roman"/>
      <w:sz w:val="21"/>
      <w:szCs w:val="21"/>
      <w:lang w:val="en-US" w:eastAsia="zh-CN" w:bidi="ar-SA"/>
    </w:rPr>
  </w:style>
  <w:style w:type="paragraph" w:styleId="13">
    <w:name w:val="toc 3"/>
    <w:next w:val="1"/>
    <w:unhideWhenUsed/>
    <w:qFormat/>
    <w:uiPriority w:val="30"/>
    <w:pPr>
      <w:ind w:left="850"/>
      <w:jc w:val="both"/>
    </w:pPr>
    <w:rPr>
      <w:rFonts w:ascii="Calibri" w:hAnsi="Calibri" w:eastAsia="宋体" w:cs="Times New Roman"/>
      <w:sz w:val="21"/>
      <w:szCs w:val="21"/>
      <w:lang w:val="en-US" w:eastAsia="zh-CN" w:bidi="ar-SA"/>
    </w:rPr>
  </w:style>
  <w:style w:type="paragraph" w:styleId="14">
    <w:name w:val="toc 8"/>
    <w:next w:val="1"/>
    <w:unhideWhenUsed/>
    <w:qFormat/>
    <w:uiPriority w:val="35"/>
    <w:pPr>
      <w:ind w:left="2975"/>
      <w:jc w:val="both"/>
    </w:pPr>
    <w:rPr>
      <w:rFonts w:ascii="Calibri" w:hAnsi="Calibri" w:eastAsia="宋体" w:cs="Times New Roman"/>
      <w:sz w:val="21"/>
      <w:szCs w:val="21"/>
      <w:lang w:val="en-US" w:eastAsia="zh-CN" w:bidi="ar-SA"/>
    </w:rPr>
  </w:style>
  <w:style w:type="paragraph" w:styleId="15">
    <w:name w:val="Balloon Text"/>
    <w:basedOn w:val="1"/>
    <w:link w:val="42"/>
    <w:semiHidden/>
    <w:unhideWhenUsed/>
    <w:qFormat/>
    <w:uiPriority w:val="0"/>
    <w:rPr>
      <w:sz w:val="18"/>
      <w:szCs w:val="18"/>
    </w:rPr>
  </w:style>
  <w:style w:type="paragraph" w:styleId="16">
    <w:name w:val="footer"/>
    <w:basedOn w:val="1"/>
    <w:link w:val="45"/>
    <w:unhideWhenUsed/>
    <w:uiPriority w:val="99"/>
    <w:pPr>
      <w:tabs>
        <w:tab w:val="center" w:pos="4153"/>
        <w:tab w:val="right" w:pos="8306"/>
      </w:tabs>
      <w:snapToGrid w:val="0"/>
      <w:jc w:val="left"/>
    </w:pPr>
    <w:rPr>
      <w:sz w:val="18"/>
      <w:szCs w:val="18"/>
    </w:rPr>
  </w:style>
  <w:style w:type="paragraph" w:styleId="17">
    <w:name w:val="header"/>
    <w:basedOn w:val="1"/>
    <w:link w:val="44"/>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next w:val="1"/>
    <w:unhideWhenUsed/>
    <w:qFormat/>
    <w:uiPriority w:val="28"/>
    <w:pPr>
      <w:jc w:val="both"/>
    </w:pPr>
    <w:rPr>
      <w:rFonts w:ascii="Calibri" w:hAnsi="Calibri" w:eastAsia="宋体" w:cs="Times New Roman"/>
      <w:sz w:val="21"/>
      <w:szCs w:val="21"/>
      <w:lang w:val="en-US" w:eastAsia="zh-CN" w:bidi="ar-SA"/>
    </w:rPr>
  </w:style>
  <w:style w:type="paragraph" w:styleId="19">
    <w:name w:val="toc 4"/>
    <w:next w:val="1"/>
    <w:unhideWhenUsed/>
    <w:qFormat/>
    <w:uiPriority w:val="31"/>
    <w:pPr>
      <w:ind w:left="1275"/>
      <w:jc w:val="both"/>
    </w:pPr>
    <w:rPr>
      <w:rFonts w:ascii="Calibri" w:hAnsi="Calibri" w:eastAsia="宋体" w:cs="Times New Roman"/>
      <w:sz w:val="21"/>
      <w:szCs w:val="21"/>
      <w:lang w:val="en-US" w:eastAsia="zh-CN" w:bidi="ar-SA"/>
    </w:rPr>
  </w:style>
  <w:style w:type="paragraph" w:styleId="20">
    <w:name w:val="Subtitle"/>
    <w:qFormat/>
    <w:uiPriority w:val="16"/>
    <w:pPr>
      <w:jc w:val="center"/>
    </w:pPr>
    <w:rPr>
      <w:rFonts w:ascii="Calibri" w:hAnsi="Calibri" w:eastAsia="宋体" w:cs="Times New Roman"/>
      <w:sz w:val="24"/>
      <w:szCs w:val="24"/>
      <w:lang w:val="en-US" w:eastAsia="zh-CN" w:bidi="ar-SA"/>
    </w:rPr>
  </w:style>
  <w:style w:type="paragraph" w:styleId="21">
    <w:name w:val="toc 6"/>
    <w:next w:val="1"/>
    <w:unhideWhenUsed/>
    <w:qFormat/>
    <w:uiPriority w:val="33"/>
    <w:pPr>
      <w:ind w:left="2125"/>
      <w:jc w:val="both"/>
    </w:pPr>
    <w:rPr>
      <w:rFonts w:ascii="Calibri" w:hAnsi="Calibri" w:eastAsia="宋体" w:cs="Times New Roman"/>
      <w:sz w:val="21"/>
      <w:szCs w:val="21"/>
      <w:lang w:val="en-US" w:eastAsia="zh-CN" w:bidi="ar-SA"/>
    </w:rPr>
  </w:style>
  <w:style w:type="paragraph" w:styleId="22">
    <w:name w:val="toc 2"/>
    <w:next w:val="1"/>
    <w:unhideWhenUsed/>
    <w:qFormat/>
    <w:uiPriority w:val="29"/>
    <w:pPr>
      <w:ind w:left="425"/>
      <w:jc w:val="both"/>
    </w:pPr>
    <w:rPr>
      <w:rFonts w:ascii="Calibri" w:hAnsi="Calibri" w:eastAsia="宋体" w:cs="Times New Roman"/>
      <w:sz w:val="21"/>
      <w:szCs w:val="21"/>
      <w:lang w:val="en-US" w:eastAsia="zh-CN" w:bidi="ar-SA"/>
    </w:rPr>
  </w:style>
  <w:style w:type="paragraph" w:styleId="23">
    <w:name w:val="toc 9"/>
    <w:next w:val="1"/>
    <w:unhideWhenUsed/>
    <w:qFormat/>
    <w:uiPriority w:val="36"/>
    <w:pPr>
      <w:ind w:left="3400"/>
      <w:jc w:val="both"/>
    </w:pPr>
    <w:rPr>
      <w:rFonts w:ascii="Calibri" w:hAnsi="Calibri" w:eastAsia="宋体" w:cs="Times New Roman"/>
      <w:sz w:val="21"/>
      <w:szCs w:val="21"/>
      <w:lang w:val="en-US" w:eastAsia="zh-CN" w:bidi="ar-SA"/>
    </w:rPr>
  </w:style>
  <w:style w:type="paragraph" w:styleId="24">
    <w:name w:val="Normal (Web)"/>
    <w:basedOn w:val="1"/>
    <w:unhideWhenUsed/>
    <w:qFormat/>
    <w:uiPriority w:val="99"/>
    <w:rPr>
      <w:rFonts w:ascii="宋体" w:hAnsi="宋体"/>
      <w:sz w:val="24"/>
      <w:szCs w:val="24"/>
    </w:rPr>
  </w:style>
  <w:style w:type="paragraph" w:styleId="25">
    <w:name w:val="Title"/>
    <w:qFormat/>
    <w:uiPriority w:val="6"/>
    <w:pPr>
      <w:jc w:val="center"/>
    </w:pPr>
    <w:rPr>
      <w:rFonts w:ascii="Calibri" w:hAnsi="Calibri" w:eastAsia="宋体" w:cs="Times New Roman"/>
      <w:b/>
      <w:sz w:val="32"/>
      <w:szCs w:val="32"/>
      <w:lang w:val="en-US" w:eastAsia="zh-CN" w:bidi="ar-SA"/>
    </w:rPr>
  </w:style>
  <w:style w:type="table" w:styleId="27">
    <w:name w:val="Table Grid"/>
    <w:basedOn w:val="26"/>
    <w:uiPriority w:val="37"/>
    <w:rPr>
      <w:rFonts w:ascii="宋体" w:hAnsi="宋体" w:eastAsia="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22"/>
    <w:rPr>
      <w:b/>
      <w:w w:val="100"/>
      <w:sz w:val="21"/>
      <w:szCs w:val="21"/>
      <w:shd w:val="clear" w:color="auto" w:fill="auto"/>
    </w:rPr>
  </w:style>
  <w:style w:type="character" w:styleId="30">
    <w:name w:val="Emphasis"/>
    <w:qFormat/>
    <w:uiPriority w:val="18"/>
    <w:rPr>
      <w:i/>
      <w:w w:val="100"/>
      <w:sz w:val="21"/>
      <w:szCs w:val="21"/>
      <w:shd w:val="clear" w:color="auto" w:fill="auto"/>
    </w:rPr>
  </w:style>
  <w:style w:type="character" w:styleId="31">
    <w:name w:val="Hyperlink"/>
    <w:basedOn w:val="28"/>
    <w:semiHidden/>
    <w:unhideWhenUsed/>
    <w:uiPriority w:val="99"/>
    <w:rPr>
      <w:color w:val="0000FF"/>
      <w:u w:val="single"/>
    </w:rPr>
  </w:style>
  <w:style w:type="paragraph" w:styleId="32">
    <w:name w:val="No Spacing"/>
    <w:qFormat/>
    <w:uiPriority w:val="5"/>
    <w:pPr>
      <w:jc w:val="both"/>
    </w:pPr>
    <w:rPr>
      <w:rFonts w:ascii="Calibri" w:hAnsi="Calibri" w:eastAsia="宋体" w:cs="Times New Roman"/>
      <w:sz w:val="21"/>
      <w:szCs w:val="21"/>
      <w:lang w:val="en-US" w:eastAsia="zh-CN" w:bidi="ar-SA"/>
    </w:rPr>
  </w:style>
  <w:style w:type="character" w:customStyle="1" w:styleId="33">
    <w:name w:val="Subtle Emphasis"/>
    <w:qFormat/>
    <w:uiPriority w:val="17"/>
    <w:rPr>
      <w:i/>
      <w:color w:val="404040"/>
      <w:w w:val="100"/>
      <w:sz w:val="21"/>
      <w:szCs w:val="21"/>
      <w:shd w:val="clear" w:color="auto" w:fill="auto"/>
    </w:rPr>
  </w:style>
  <w:style w:type="character" w:customStyle="1" w:styleId="34">
    <w:name w:val="Intense Emphasis"/>
    <w:qFormat/>
    <w:uiPriority w:val="19"/>
    <w:rPr>
      <w:i/>
      <w:color w:val="5B9BD5"/>
      <w:w w:val="100"/>
      <w:sz w:val="21"/>
      <w:szCs w:val="21"/>
      <w:shd w:val="clear" w:color="auto" w:fill="auto"/>
    </w:rPr>
  </w:style>
  <w:style w:type="paragraph" w:styleId="35">
    <w:name w:val="Quote"/>
    <w:qFormat/>
    <w:uiPriority w:val="21"/>
    <w:pPr>
      <w:ind w:left="864" w:right="864"/>
      <w:jc w:val="center"/>
    </w:pPr>
    <w:rPr>
      <w:rFonts w:ascii="Calibri" w:hAnsi="Calibri" w:eastAsia="宋体" w:cs="Times New Roman"/>
      <w:i/>
      <w:color w:val="404040"/>
      <w:sz w:val="21"/>
      <w:szCs w:val="21"/>
      <w:lang w:val="en-US" w:eastAsia="zh-CN" w:bidi="ar-SA"/>
    </w:rPr>
  </w:style>
  <w:style w:type="paragraph" w:styleId="36">
    <w:name w:val="Intense Quote"/>
    <w:qFormat/>
    <w:uiPriority w:val="22"/>
    <w:pPr>
      <w:ind w:left="950" w:right="950"/>
      <w:jc w:val="center"/>
    </w:pPr>
    <w:rPr>
      <w:rFonts w:ascii="Calibri" w:hAnsi="Calibri" w:eastAsia="宋体" w:cs="Times New Roman"/>
      <w:i/>
      <w:color w:val="5B9BD5"/>
      <w:sz w:val="21"/>
      <w:szCs w:val="21"/>
      <w:lang w:val="en-US" w:eastAsia="zh-CN" w:bidi="ar-SA"/>
    </w:rPr>
  </w:style>
  <w:style w:type="character" w:customStyle="1" w:styleId="37">
    <w:name w:val="Subtle Reference"/>
    <w:qFormat/>
    <w:uiPriority w:val="23"/>
    <w:rPr>
      <w:smallCaps/>
      <w:color w:val="5A5A5A"/>
      <w:w w:val="100"/>
      <w:sz w:val="21"/>
      <w:szCs w:val="21"/>
      <w:shd w:val="clear" w:color="auto" w:fill="auto"/>
    </w:rPr>
  </w:style>
  <w:style w:type="character" w:customStyle="1" w:styleId="38">
    <w:name w:val="Intense Reference"/>
    <w:qFormat/>
    <w:uiPriority w:val="24"/>
    <w:rPr>
      <w:b/>
      <w:smallCaps/>
      <w:color w:val="5B9BD5"/>
      <w:w w:val="100"/>
      <w:sz w:val="21"/>
      <w:szCs w:val="21"/>
      <w:shd w:val="clear" w:color="auto" w:fill="auto"/>
    </w:rPr>
  </w:style>
  <w:style w:type="character" w:customStyle="1" w:styleId="39">
    <w:name w:val="Book Title"/>
    <w:qFormat/>
    <w:uiPriority w:val="25"/>
    <w:rPr>
      <w:b/>
      <w:i/>
      <w:w w:val="100"/>
      <w:sz w:val="21"/>
      <w:szCs w:val="21"/>
      <w:shd w:val="clear" w:color="auto" w:fill="auto"/>
    </w:rPr>
  </w:style>
  <w:style w:type="paragraph" w:styleId="40">
    <w:name w:val="List Paragraph"/>
    <w:qFormat/>
    <w:uiPriority w:val="34"/>
    <w:pPr>
      <w:ind w:left="850"/>
      <w:jc w:val="both"/>
    </w:pPr>
    <w:rPr>
      <w:rFonts w:ascii="Calibri" w:hAnsi="Calibri" w:eastAsia="宋体" w:cs="Times New Roman"/>
      <w:sz w:val="21"/>
      <w:szCs w:val="21"/>
      <w:lang w:val="en-US" w:eastAsia="zh-CN" w:bidi="ar-SA"/>
    </w:rPr>
  </w:style>
  <w:style w:type="paragraph" w:customStyle="1" w:styleId="41">
    <w:name w:val="TOC Heading"/>
    <w:unhideWhenUsed/>
    <w:qFormat/>
    <w:uiPriority w:val="27"/>
    <w:rPr>
      <w:rFonts w:ascii="Calibri" w:hAnsi="Calibri" w:eastAsia="宋体" w:cs="Times New Roman"/>
      <w:color w:val="2E74B5"/>
      <w:sz w:val="32"/>
      <w:szCs w:val="32"/>
      <w:lang w:val="en-US" w:eastAsia="zh-CN" w:bidi="ar-SA"/>
    </w:rPr>
  </w:style>
  <w:style w:type="character" w:customStyle="1" w:styleId="42">
    <w:name w:val="批注框文本 Char"/>
    <w:basedOn w:val="28"/>
    <w:link w:val="15"/>
    <w:semiHidden/>
    <w:uiPriority w:val="0"/>
    <w:rPr>
      <w:w w:val="100"/>
      <w:sz w:val="18"/>
      <w:szCs w:val="18"/>
      <w:shd w:val="clear" w:color="auto" w:fill="auto"/>
    </w:rPr>
  </w:style>
  <w:style w:type="character" w:styleId="43">
    <w:name w:val="Placeholder Text"/>
    <w:basedOn w:val="28"/>
    <w:semiHidden/>
    <w:uiPriority w:val="0"/>
    <w:rPr>
      <w:color w:val="808080"/>
      <w:w w:val="100"/>
      <w:sz w:val="20"/>
      <w:szCs w:val="20"/>
      <w:shd w:val="clear" w:color="auto" w:fill="auto"/>
    </w:rPr>
  </w:style>
  <w:style w:type="character" w:customStyle="1" w:styleId="44">
    <w:name w:val="页眉 Char"/>
    <w:basedOn w:val="28"/>
    <w:link w:val="17"/>
    <w:uiPriority w:val="99"/>
    <w:rPr>
      <w:sz w:val="18"/>
      <w:szCs w:val="18"/>
    </w:rPr>
  </w:style>
  <w:style w:type="character" w:customStyle="1" w:styleId="45">
    <w:name w:val="页脚 Char"/>
    <w:basedOn w:val="28"/>
    <w:link w:val="16"/>
    <w:uiPriority w:val="99"/>
    <w:rPr>
      <w:sz w:val="18"/>
      <w:szCs w:val="18"/>
    </w:rPr>
  </w:style>
  <w:style w:type="character" w:customStyle="1" w:styleId="46">
    <w:name w:val="apple-converted-space"/>
    <w:basedOn w:val="28"/>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083D99-012C-41AF-BA0A-DED9F2F39AA4}">
  <ds:schemaRefs/>
</ds:datastoreItem>
</file>

<file path=docProps/app.xml><?xml version="1.0" encoding="utf-8"?>
<Properties xmlns="http://schemas.openxmlformats.org/officeDocument/2006/extended-properties" xmlns:vt="http://schemas.openxmlformats.org/officeDocument/2006/docPropsVTypes">
  <Template>Normal</Template>
  <Pages>1</Pages>
  <Words>210</Words>
  <Characters>1200</Characters>
  <Lines>10</Lines>
  <Paragraphs>2</Paragraphs>
  <TotalTime>1</TotalTime>
  <ScaleCrop>false</ScaleCrop>
  <LinksUpToDate>false</LinksUpToDate>
  <CharactersWithSpaces>1408</CharactersWithSpaces>
  <Application>WPS Office_11.1.0.9329_F1E327BC-269C-435d-A152-05C5408002CA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2019-09-09T05:46:00Z</dcterms:created>
  <dc:creator>huah</dc:creator>
  <cp:lastModifiedBy>huah</cp:lastModifiedBy>
  <cp:lastPrinted>2019-12-04T01:19:00Z</cp:lastPrinted>
  <dcterms:modified xsi:type="dcterms:W3CDTF">2020-01-02T03:22:14Z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2052-11.1.0.9329</vt:lpwstr>
  </property>
</Properties>
</file>