
<file path=[Content_Types].xml><?xml version="1.0" encoding="utf-8"?>
<Types xmlns="http://schemas.openxmlformats.org/package/2006/content-types">
  <Default Extension="xml" ContentType="application/xml"/>
  <Default Extension="xlsx" ContentType="application/vnd.openxmlformats-officedocument.spreadsheetml.sheet"/>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olors1.xml" ContentType="application/vnd.ms-office.chartcolorstyle+xml"/>
  <Override PartName="/word/charts/style1.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hd w:val="clear" w:color="auto" w:fill="FFFFFF"/>
        <w:spacing w:line="560" w:lineRule="exact"/>
        <w:jc w:val="center"/>
        <w:rPr>
          <w:rFonts w:hint="default" w:ascii="仿宋" w:hAnsi="仿宋" w:eastAsia="仿宋" w:cs="仿宋"/>
          <w:color w:val="000000"/>
          <w:sz w:val="32"/>
          <w:szCs w:val="32"/>
          <w:lang w:val="en-US" w:eastAsia="zh-CN"/>
        </w:rPr>
      </w:pPr>
      <w:r>
        <w:rPr>
          <w:rFonts w:hint="eastAsia" w:ascii="黑体" w:hAnsi="黑体" w:eastAsia="黑体" w:cs="宋体"/>
          <w:b/>
          <w:bCs/>
          <w:color w:val="000000"/>
          <w:sz w:val="44"/>
          <w:szCs w:val="44"/>
          <w:lang w:val="en-US" w:eastAsia="zh-CN"/>
        </w:rPr>
        <w:t>2019年楼市关键词——“七上八下”</w:t>
      </w:r>
    </w:p>
    <w:p>
      <w:pPr>
        <w:pStyle w:val="3"/>
        <w:pageBreakBefore w:val="0"/>
        <w:widowControl w:val="0"/>
        <w:numPr>
          <w:ilvl w:val="0"/>
          <w:numId w:val="0"/>
        </w:numPr>
        <w:kinsoku/>
        <w:wordWrap/>
        <w:overflowPunct/>
        <w:topLinePunct w:val="0"/>
        <w:autoSpaceDE/>
        <w:autoSpaceDN/>
        <w:bidi w:val="0"/>
        <w:adjustRightInd/>
        <w:snapToGrid/>
        <w:spacing w:before="0" w:after="0" w:line="560" w:lineRule="exact"/>
        <w:ind w:right="0" w:firstLine="643"/>
        <w:jc w:val="both"/>
        <w:textAlignment w:val="auto"/>
        <w:outlineLvl w:val="1"/>
        <w:rPr>
          <w:rFonts w:hint="default" w:ascii="仿宋" w:hAnsi="仿宋" w:eastAsia="仿宋"/>
          <w:b/>
          <w:color w:val="auto"/>
          <w:position w:val="0"/>
          <w:sz w:val="32"/>
          <w:szCs w:val="32"/>
        </w:rPr>
      </w:pPr>
      <w:bookmarkStart w:id="0" w:name="_Toc27302"/>
    </w:p>
    <w:p>
      <w:pPr>
        <w:pStyle w:val="3"/>
        <w:pageBreakBefore w:val="0"/>
        <w:widowControl w:val="0"/>
        <w:numPr>
          <w:ilvl w:val="0"/>
          <w:numId w:val="0"/>
        </w:numPr>
        <w:kinsoku/>
        <w:wordWrap/>
        <w:overflowPunct/>
        <w:topLinePunct w:val="0"/>
        <w:autoSpaceDE/>
        <w:autoSpaceDN/>
        <w:bidi w:val="0"/>
        <w:adjustRightInd/>
        <w:snapToGrid/>
        <w:spacing w:before="0" w:after="0" w:line="560" w:lineRule="exact"/>
        <w:ind w:right="0" w:firstLine="643"/>
        <w:jc w:val="both"/>
        <w:textAlignment w:val="auto"/>
        <w:outlineLvl w:val="1"/>
        <w:rPr>
          <w:rFonts w:hint="default" w:ascii="仿宋" w:hAnsi="仿宋" w:eastAsia="仿宋"/>
          <w:b/>
          <w:color w:val="auto"/>
          <w:position w:val="0"/>
          <w:sz w:val="32"/>
          <w:szCs w:val="32"/>
        </w:rPr>
      </w:pPr>
    </w:p>
    <w:bookmarkEnd w:id="0"/>
    <w:p>
      <w:pPr>
        <w:pageBreakBefore w:val="0"/>
        <w:widowControl w:val="0"/>
        <w:numPr>
          <w:ilvl w:val="0"/>
          <w:numId w:val="0"/>
        </w:numPr>
        <w:kinsoku/>
        <w:wordWrap/>
        <w:overflowPunct/>
        <w:topLinePunct w:val="0"/>
        <w:autoSpaceDE/>
        <w:autoSpaceDN/>
        <w:bidi w:val="0"/>
        <w:adjustRightInd/>
        <w:snapToGrid/>
        <w:spacing w:before="0" w:line="560" w:lineRule="exact"/>
        <w:ind w:right="0" w:firstLine="640"/>
        <w:jc w:val="both"/>
        <w:textAlignment w:val="auto"/>
        <w:rPr>
          <w:rFonts w:hint="default" w:ascii="仿宋" w:hAnsi="仿宋" w:eastAsia="仿宋"/>
          <w:color w:val="auto"/>
          <w:position w:val="0"/>
          <w:sz w:val="32"/>
          <w:szCs w:val="32"/>
        </w:rPr>
      </w:pPr>
      <w:r>
        <w:rPr>
          <w:rFonts w:hint="default" w:ascii="仿宋" w:hAnsi="仿宋" w:eastAsia="仿宋"/>
          <w:color w:val="auto"/>
          <w:position w:val="0"/>
          <w:sz w:val="32"/>
          <w:szCs w:val="32"/>
        </w:rPr>
        <w:t>根据深房中协房地产中介行业标准指数统计，2019年我市一手住宅共计成交</w:t>
      </w:r>
      <w:r>
        <w:rPr>
          <w:rFonts w:hint="eastAsia" w:ascii="仿宋" w:hAnsi="仿宋" w:eastAsia="仿宋"/>
          <w:color w:val="auto"/>
          <w:position w:val="0"/>
          <w:sz w:val="32"/>
          <w:szCs w:val="32"/>
          <w:lang w:val="en-US" w:eastAsia="zh-CN"/>
        </w:rPr>
        <w:t>30623</w:t>
      </w:r>
      <w:r>
        <w:rPr>
          <w:rFonts w:hint="default" w:ascii="仿宋" w:hAnsi="仿宋" w:eastAsia="仿宋"/>
          <w:color w:val="auto"/>
          <w:position w:val="0"/>
          <w:sz w:val="32"/>
          <w:szCs w:val="32"/>
        </w:rPr>
        <w:t>套，同比去年</w:t>
      </w:r>
      <w:r>
        <w:rPr>
          <w:rFonts w:hint="eastAsia" w:ascii="仿宋" w:hAnsi="仿宋" w:eastAsia="仿宋"/>
          <w:color w:val="auto"/>
          <w:position w:val="0"/>
          <w:sz w:val="32"/>
          <w:szCs w:val="32"/>
          <w:lang w:eastAsia="zh-CN"/>
        </w:rPr>
        <w:t>仅小幅上涨</w:t>
      </w:r>
      <w:r>
        <w:rPr>
          <w:rFonts w:hint="eastAsia" w:ascii="仿宋" w:hAnsi="仿宋" w:eastAsia="仿宋"/>
          <w:color w:val="auto"/>
          <w:position w:val="0"/>
          <w:sz w:val="32"/>
          <w:szCs w:val="32"/>
          <w:lang w:val="en-US" w:eastAsia="zh-CN"/>
        </w:rPr>
        <w:t>4.2</w:t>
      </w:r>
      <w:r>
        <w:rPr>
          <w:rFonts w:hint="default" w:ascii="仿宋" w:hAnsi="仿宋" w:eastAsia="仿宋"/>
          <w:color w:val="auto"/>
          <w:position w:val="0"/>
          <w:sz w:val="32"/>
          <w:szCs w:val="32"/>
        </w:rPr>
        <w:t>%。</w:t>
      </w:r>
      <w:r>
        <w:rPr>
          <w:rFonts w:hint="eastAsia" w:ascii="仿宋" w:hAnsi="仿宋" w:eastAsia="仿宋"/>
          <w:color w:val="auto"/>
          <w:position w:val="0"/>
          <w:sz w:val="32"/>
          <w:szCs w:val="32"/>
          <w:lang w:eastAsia="zh-CN"/>
        </w:rPr>
        <w:t>而在</w:t>
      </w:r>
      <w:r>
        <w:rPr>
          <w:rFonts w:hint="default" w:ascii="仿宋" w:hAnsi="仿宋" w:eastAsia="仿宋"/>
          <w:color w:val="auto"/>
          <w:position w:val="0"/>
          <w:sz w:val="32"/>
          <w:szCs w:val="32"/>
        </w:rPr>
        <w:t>二手</w:t>
      </w:r>
      <w:r>
        <w:rPr>
          <w:rFonts w:hint="eastAsia" w:ascii="仿宋" w:hAnsi="仿宋" w:eastAsia="仿宋"/>
          <w:color w:val="auto"/>
          <w:position w:val="0"/>
          <w:sz w:val="32"/>
          <w:szCs w:val="32"/>
          <w:lang w:eastAsia="zh-CN"/>
        </w:rPr>
        <w:t>房</w:t>
      </w:r>
      <w:r>
        <w:rPr>
          <w:rFonts w:hint="default" w:ascii="仿宋" w:hAnsi="仿宋" w:eastAsia="仿宋"/>
          <w:color w:val="auto"/>
          <w:position w:val="0"/>
          <w:sz w:val="32"/>
          <w:szCs w:val="32"/>
        </w:rPr>
        <w:t>方面，2019年全市二手</w:t>
      </w:r>
      <w:r>
        <w:rPr>
          <w:rFonts w:hint="eastAsia" w:ascii="仿宋" w:hAnsi="仿宋" w:eastAsia="仿宋"/>
          <w:color w:val="auto"/>
          <w:position w:val="0"/>
          <w:sz w:val="32"/>
          <w:szCs w:val="32"/>
          <w:lang w:eastAsia="zh-CN"/>
        </w:rPr>
        <w:t>房（含住宅）</w:t>
      </w:r>
      <w:r>
        <w:rPr>
          <w:rFonts w:hint="default" w:ascii="仿宋" w:hAnsi="仿宋" w:eastAsia="仿宋"/>
          <w:color w:val="auto"/>
          <w:position w:val="0"/>
          <w:sz w:val="32"/>
          <w:szCs w:val="32"/>
        </w:rPr>
        <w:t>共计成交</w:t>
      </w:r>
      <w:r>
        <w:rPr>
          <w:rFonts w:hint="eastAsia" w:ascii="仿宋" w:hAnsi="仿宋" w:eastAsia="仿宋"/>
          <w:color w:val="auto"/>
          <w:position w:val="0"/>
          <w:sz w:val="32"/>
          <w:szCs w:val="32"/>
          <w:lang w:val="en-US" w:eastAsia="zh-CN"/>
        </w:rPr>
        <w:t>87640</w:t>
      </w:r>
      <w:r>
        <w:rPr>
          <w:rFonts w:hint="default" w:ascii="仿宋" w:hAnsi="仿宋" w:eastAsia="仿宋"/>
          <w:color w:val="auto"/>
          <w:position w:val="0"/>
          <w:sz w:val="32"/>
          <w:szCs w:val="32"/>
        </w:rPr>
        <w:t>套，同比2018年涨幅</w:t>
      </w:r>
      <w:r>
        <w:rPr>
          <w:rFonts w:hint="eastAsia" w:ascii="仿宋" w:hAnsi="仿宋" w:eastAsia="仿宋"/>
          <w:color w:val="auto"/>
          <w:position w:val="0"/>
          <w:sz w:val="32"/>
          <w:szCs w:val="32"/>
          <w:lang w:eastAsia="zh-CN"/>
        </w:rPr>
        <w:t>却高达</w:t>
      </w:r>
      <w:r>
        <w:rPr>
          <w:rFonts w:hint="eastAsia" w:ascii="仿宋" w:hAnsi="仿宋" w:eastAsia="仿宋"/>
          <w:color w:val="auto"/>
          <w:position w:val="0"/>
          <w:sz w:val="32"/>
          <w:szCs w:val="32"/>
          <w:lang w:val="en-US" w:eastAsia="zh-CN"/>
        </w:rPr>
        <w:t>43</w:t>
      </w:r>
      <w:r>
        <w:rPr>
          <w:rFonts w:hint="default" w:ascii="仿宋" w:hAnsi="仿宋" w:eastAsia="仿宋"/>
          <w:color w:val="auto"/>
          <w:position w:val="0"/>
          <w:sz w:val="32"/>
          <w:szCs w:val="32"/>
        </w:rPr>
        <w:t>%。</w:t>
      </w:r>
    </w:p>
    <w:p>
      <w:pPr>
        <w:pageBreakBefore w:val="0"/>
        <w:widowControl w:val="0"/>
        <w:numPr>
          <w:ilvl w:val="0"/>
          <w:numId w:val="0"/>
        </w:numPr>
        <w:kinsoku/>
        <w:wordWrap/>
        <w:overflowPunct/>
        <w:topLinePunct w:val="0"/>
        <w:autoSpaceDE/>
        <w:autoSpaceDN/>
        <w:bidi w:val="0"/>
        <w:adjustRightInd/>
        <w:snapToGrid/>
        <w:spacing w:before="0" w:line="560" w:lineRule="exact"/>
        <w:ind w:right="0" w:firstLine="640"/>
        <w:jc w:val="both"/>
        <w:textAlignment w:val="auto"/>
        <w:rPr>
          <w:rFonts w:hint="default" w:ascii="仿宋" w:hAnsi="仿宋" w:eastAsia="仿宋"/>
          <w:color w:val="auto"/>
          <w:position w:val="0"/>
          <w:sz w:val="32"/>
          <w:szCs w:val="32"/>
        </w:rPr>
      </w:pPr>
      <w:r>
        <w:rPr>
          <w:rFonts w:ascii="宋体" w:hAnsi="宋体" w:eastAsia="宋体" w:cs="宋体"/>
          <w:sz w:val="24"/>
          <w:szCs w:val="24"/>
        </w:rPr>
        <w:drawing>
          <wp:anchor distT="0" distB="0" distL="114300" distR="114300" simplePos="0" relativeHeight="251630592" behindDoc="0" locked="0" layoutInCell="1" allowOverlap="1">
            <wp:simplePos x="0" y="0"/>
            <wp:positionH relativeFrom="column">
              <wp:posOffset>415290</wp:posOffset>
            </wp:positionH>
            <wp:positionV relativeFrom="paragraph">
              <wp:posOffset>310515</wp:posOffset>
            </wp:positionV>
            <wp:extent cx="4733925" cy="3057525"/>
            <wp:effectExtent l="0" t="0" r="9525" b="9525"/>
            <wp:wrapSquare wrapText="bothSides"/>
            <wp:docPr id="4"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descr="IMG_256"/>
                    <pic:cNvPicPr>
                      <a:picLocks noChangeAspect="1"/>
                    </pic:cNvPicPr>
                  </pic:nvPicPr>
                  <pic:blipFill>
                    <a:blip r:embed="rId4"/>
                    <a:stretch>
                      <a:fillRect/>
                    </a:stretch>
                  </pic:blipFill>
                  <pic:spPr>
                    <a:xfrm>
                      <a:off x="0" y="0"/>
                      <a:ext cx="4733925" cy="3057525"/>
                    </a:xfrm>
                    <a:prstGeom prst="rect">
                      <a:avLst/>
                    </a:prstGeom>
                    <a:noFill/>
                    <a:ln w="9525">
                      <a:noFill/>
                    </a:ln>
                  </pic:spPr>
                </pic:pic>
              </a:graphicData>
            </a:graphic>
          </wp:anchor>
        </w:drawing>
      </w:r>
    </w:p>
    <w:p>
      <w:pPr>
        <w:pageBreakBefore w:val="0"/>
        <w:widowControl w:val="0"/>
        <w:numPr>
          <w:ilvl w:val="0"/>
          <w:numId w:val="0"/>
        </w:numPr>
        <w:kinsoku/>
        <w:wordWrap/>
        <w:overflowPunct/>
        <w:topLinePunct w:val="0"/>
        <w:autoSpaceDE/>
        <w:autoSpaceDN/>
        <w:bidi w:val="0"/>
        <w:adjustRightInd/>
        <w:snapToGrid/>
        <w:spacing w:before="0" w:line="560" w:lineRule="exact"/>
        <w:ind w:right="0" w:firstLine="640"/>
        <w:jc w:val="both"/>
        <w:textAlignment w:val="auto"/>
        <w:rPr>
          <w:rFonts w:hint="default" w:ascii="仿宋" w:hAnsi="仿宋" w:eastAsia="仿宋"/>
          <w:color w:val="auto"/>
          <w:position w:val="0"/>
          <w:sz w:val="32"/>
          <w:szCs w:val="32"/>
        </w:rPr>
      </w:pPr>
    </w:p>
    <w:p>
      <w:pPr>
        <w:pageBreakBefore w:val="0"/>
        <w:widowControl w:val="0"/>
        <w:numPr>
          <w:ilvl w:val="0"/>
          <w:numId w:val="0"/>
        </w:numPr>
        <w:kinsoku/>
        <w:wordWrap/>
        <w:overflowPunct/>
        <w:topLinePunct w:val="0"/>
        <w:autoSpaceDE/>
        <w:autoSpaceDN/>
        <w:bidi w:val="0"/>
        <w:adjustRightInd/>
        <w:snapToGrid/>
        <w:spacing w:before="0" w:line="560" w:lineRule="exact"/>
        <w:ind w:right="0" w:firstLine="640"/>
        <w:jc w:val="both"/>
        <w:textAlignment w:val="auto"/>
        <w:rPr>
          <w:rFonts w:hint="default" w:ascii="仿宋" w:hAnsi="仿宋" w:eastAsia="仿宋"/>
          <w:color w:val="auto"/>
          <w:position w:val="0"/>
          <w:sz w:val="32"/>
          <w:szCs w:val="32"/>
        </w:rPr>
      </w:pPr>
    </w:p>
    <w:p>
      <w:pPr>
        <w:pageBreakBefore w:val="0"/>
        <w:widowControl w:val="0"/>
        <w:numPr>
          <w:ilvl w:val="0"/>
          <w:numId w:val="0"/>
        </w:numPr>
        <w:kinsoku/>
        <w:wordWrap/>
        <w:overflowPunct/>
        <w:topLinePunct w:val="0"/>
        <w:autoSpaceDE/>
        <w:autoSpaceDN/>
        <w:bidi w:val="0"/>
        <w:adjustRightInd/>
        <w:snapToGrid/>
        <w:spacing w:before="0" w:line="560" w:lineRule="exact"/>
        <w:ind w:right="0" w:firstLine="640"/>
        <w:jc w:val="both"/>
        <w:textAlignment w:val="auto"/>
        <w:rPr>
          <w:rFonts w:hint="default" w:ascii="仿宋" w:hAnsi="仿宋" w:eastAsia="仿宋"/>
          <w:color w:val="auto"/>
          <w:position w:val="0"/>
          <w:sz w:val="32"/>
          <w:szCs w:val="32"/>
        </w:rPr>
      </w:pPr>
    </w:p>
    <w:p>
      <w:pPr>
        <w:pageBreakBefore w:val="0"/>
        <w:widowControl w:val="0"/>
        <w:numPr>
          <w:ilvl w:val="0"/>
          <w:numId w:val="0"/>
        </w:numPr>
        <w:kinsoku/>
        <w:wordWrap/>
        <w:overflowPunct/>
        <w:topLinePunct w:val="0"/>
        <w:autoSpaceDE/>
        <w:autoSpaceDN/>
        <w:bidi w:val="0"/>
        <w:adjustRightInd/>
        <w:snapToGrid/>
        <w:spacing w:before="0" w:line="560" w:lineRule="exact"/>
        <w:ind w:right="0" w:firstLine="640"/>
        <w:jc w:val="both"/>
        <w:textAlignment w:val="auto"/>
        <w:rPr>
          <w:rFonts w:hint="default" w:ascii="仿宋" w:hAnsi="仿宋" w:eastAsia="仿宋"/>
          <w:color w:val="auto"/>
          <w:position w:val="0"/>
          <w:sz w:val="32"/>
          <w:szCs w:val="32"/>
        </w:rPr>
      </w:pPr>
    </w:p>
    <w:p>
      <w:pPr>
        <w:pageBreakBefore w:val="0"/>
        <w:widowControl w:val="0"/>
        <w:numPr>
          <w:ilvl w:val="0"/>
          <w:numId w:val="0"/>
        </w:numPr>
        <w:kinsoku/>
        <w:wordWrap/>
        <w:overflowPunct/>
        <w:topLinePunct w:val="0"/>
        <w:autoSpaceDE/>
        <w:autoSpaceDN/>
        <w:bidi w:val="0"/>
        <w:adjustRightInd/>
        <w:snapToGrid/>
        <w:spacing w:before="0" w:line="560" w:lineRule="exact"/>
        <w:ind w:right="0" w:firstLine="640"/>
        <w:jc w:val="both"/>
        <w:textAlignment w:val="auto"/>
        <w:rPr>
          <w:rFonts w:hint="default" w:ascii="仿宋" w:hAnsi="仿宋" w:eastAsia="仿宋"/>
          <w:color w:val="auto"/>
          <w:position w:val="0"/>
          <w:sz w:val="32"/>
          <w:szCs w:val="32"/>
        </w:rPr>
      </w:pPr>
    </w:p>
    <w:p>
      <w:pPr>
        <w:pageBreakBefore w:val="0"/>
        <w:widowControl w:val="0"/>
        <w:numPr>
          <w:ilvl w:val="0"/>
          <w:numId w:val="0"/>
        </w:numPr>
        <w:kinsoku/>
        <w:wordWrap/>
        <w:overflowPunct/>
        <w:topLinePunct w:val="0"/>
        <w:autoSpaceDE/>
        <w:autoSpaceDN/>
        <w:bidi w:val="0"/>
        <w:adjustRightInd/>
        <w:snapToGrid/>
        <w:spacing w:before="0" w:line="560" w:lineRule="exact"/>
        <w:ind w:right="0" w:firstLine="640"/>
        <w:jc w:val="both"/>
        <w:textAlignment w:val="auto"/>
        <w:rPr>
          <w:rFonts w:hint="default" w:ascii="仿宋" w:hAnsi="仿宋" w:eastAsia="仿宋"/>
          <w:color w:val="auto"/>
          <w:position w:val="0"/>
          <w:sz w:val="32"/>
          <w:szCs w:val="32"/>
        </w:rPr>
      </w:pPr>
    </w:p>
    <w:p>
      <w:pPr>
        <w:pageBreakBefore w:val="0"/>
        <w:widowControl w:val="0"/>
        <w:numPr>
          <w:ilvl w:val="0"/>
          <w:numId w:val="0"/>
        </w:numPr>
        <w:kinsoku/>
        <w:wordWrap/>
        <w:overflowPunct/>
        <w:topLinePunct w:val="0"/>
        <w:autoSpaceDE/>
        <w:autoSpaceDN/>
        <w:bidi w:val="0"/>
        <w:adjustRightInd/>
        <w:snapToGrid/>
        <w:spacing w:before="0" w:line="560" w:lineRule="exact"/>
        <w:ind w:right="0" w:firstLine="640"/>
        <w:jc w:val="both"/>
        <w:textAlignment w:val="auto"/>
        <w:rPr>
          <w:rFonts w:hint="default" w:ascii="仿宋" w:hAnsi="仿宋" w:eastAsia="仿宋"/>
          <w:color w:val="auto"/>
          <w:position w:val="0"/>
          <w:sz w:val="32"/>
          <w:szCs w:val="32"/>
        </w:rPr>
      </w:pPr>
    </w:p>
    <w:p>
      <w:pPr>
        <w:pageBreakBefore w:val="0"/>
        <w:widowControl w:val="0"/>
        <w:numPr>
          <w:ilvl w:val="0"/>
          <w:numId w:val="0"/>
        </w:numPr>
        <w:kinsoku/>
        <w:wordWrap/>
        <w:overflowPunct/>
        <w:topLinePunct w:val="0"/>
        <w:autoSpaceDE/>
        <w:autoSpaceDN/>
        <w:bidi w:val="0"/>
        <w:adjustRightInd/>
        <w:snapToGrid/>
        <w:spacing w:before="0" w:line="560" w:lineRule="exact"/>
        <w:ind w:right="0" w:firstLine="640"/>
        <w:jc w:val="both"/>
        <w:textAlignment w:val="auto"/>
        <w:rPr>
          <w:rFonts w:hint="default" w:ascii="仿宋" w:hAnsi="仿宋" w:eastAsia="仿宋"/>
          <w:color w:val="auto"/>
          <w:position w:val="0"/>
          <w:sz w:val="32"/>
          <w:szCs w:val="32"/>
        </w:rPr>
      </w:pPr>
    </w:p>
    <w:p>
      <w:pPr>
        <w:pageBreakBefore w:val="0"/>
        <w:widowControl w:val="0"/>
        <w:numPr>
          <w:ilvl w:val="0"/>
          <w:numId w:val="0"/>
        </w:numPr>
        <w:kinsoku/>
        <w:wordWrap/>
        <w:overflowPunct/>
        <w:topLinePunct w:val="0"/>
        <w:autoSpaceDE/>
        <w:autoSpaceDN/>
        <w:bidi w:val="0"/>
        <w:adjustRightInd/>
        <w:snapToGrid/>
        <w:spacing w:before="0" w:line="560" w:lineRule="exact"/>
        <w:ind w:right="0" w:firstLine="640"/>
        <w:jc w:val="center"/>
        <w:textAlignment w:val="auto"/>
      </w:pPr>
      <w:r>
        <w:rPr>
          <w:rFonts w:hint="eastAsia" w:ascii="仿宋" w:hAnsi="仿宋" w:eastAsia="仿宋"/>
          <w:sz w:val="32"/>
          <w:szCs w:val="32"/>
          <w:lang w:eastAsia="zh-CN"/>
        </w:rPr>
        <w:t>（（信息来源：</w:t>
      </w:r>
      <w:r>
        <w:rPr>
          <w:rFonts w:hint="default" w:ascii="仿宋" w:hAnsi="仿宋" w:eastAsia="仿宋"/>
          <w:color w:val="auto"/>
          <w:position w:val="0"/>
          <w:sz w:val="32"/>
          <w:szCs w:val="32"/>
        </w:rPr>
        <w:t>深房中协房地产中介行业标准指数</w:t>
      </w:r>
      <w:r>
        <w:rPr>
          <w:rFonts w:hint="eastAsia" w:ascii="仿宋" w:hAnsi="仿宋" w:eastAsia="仿宋"/>
          <w:sz w:val="32"/>
          <w:szCs w:val="32"/>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before="0" w:line="560" w:lineRule="exact"/>
        <w:ind w:right="0" w:firstLine="640"/>
        <w:jc w:val="both"/>
        <w:textAlignment w:val="auto"/>
        <w:rPr>
          <w:rFonts w:hint="default" w:ascii="仿宋" w:hAnsi="仿宋" w:eastAsia="仿宋"/>
          <w:color w:val="auto"/>
          <w:position w:val="0"/>
          <w:sz w:val="32"/>
          <w:szCs w:val="32"/>
        </w:rPr>
      </w:pPr>
      <w:r>
        <w:rPr>
          <w:rFonts w:hint="default" w:ascii="仿宋" w:hAnsi="仿宋" w:eastAsia="仿宋"/>
          <w:color w:val="auto"/>
          <w:position w:val="0"/>
          <w:sz w:val="32"/>
          <w:szCs w:val="32"/>
        </w:rPr>
        <w:t>深入分析2019年楼市的整体运行态势不难发现，2019年一、二手成交量的分化主要是由以下几个方面造成的：</w:t>
      </w:r>
    </w:p>
    <w:p>
      <w:pPr>
        <w:pStyle w:val="4"/>
        <w:pageBreakBefore w:val="0"/>
        <w:widowControl w:val="0"/>
        <w:numPr>
          <w:ilvl w:val="0"/>
          <w:numId w:val="0"/>
        </w:numPr>
        <w:kinsoku/>
        <w:wordWrap/>
        <w:overflowPunct/>
        <w:topLinePunct w:val="0"/>
        <w:autoSpaceDE/>
        <w:autoSpaceDN/>
        <w:bidi w:val="0"/>
        <w:adjustRightInd/>
        <w:snapToGrid/>
        <w:spacing w:before="0" w:after="0" w:line="560" w:lineRule="exact"/>
        <w:ind w:left="643" w:right="0" w:firstLine="0"/>
        <w:jc w:val="both"/>
        <w:textAlignment w:val="auto"/>
        <w:outlineLvl w:val="2"/>
        <w:rPr>
          <w:rFonts w:hint="default" w:ascii="仿宋" w:hAnsi="仿宋" w:eastAsia="仿宋"/>
          <w:b/>
          <w:color w:val="auto"/>
          <w:position w:val="0"/>
          <w:sz w:val="32"/>
          <w:szCs w:val="32"/>
        </w:rPr>
      </w:pPr>
      <w:bookmarkStart w:id="1" w:name="_Toc14912"/>
      <w:r>
        <w:rPr>
          <w:rFonts w:hint="eastAsia" w:ascii="仿宋" w:hAnsi="仿宋" w:eastAsia="仿宋"/>
          <w:b/>
          <w:color w:val="auto"/>
          <w:position w:val="0"/>
          <w:sz w:val="32"/>
          <w:szCs w:val="32"/>
          <w:lang w:eastAsia="zh-CN"/>
        </w:rPr>
        <w:t>一、政策推动</w:t>
      </w:r>
      <w:r>
        <w:rPr>
          <w:rFonts w:hint="default" w:ascii="仿宋" w:hAnsi="仿宋" w:eastAsia="仿宋"/>
          <w:b/>
          <w:color w:val="auto"/>
          <w:position w:val="0"/>
          <w:sz w:val="32"/>
          <w:szCs w:val="32"/>
        </w:rPr>
        <w:t>二手房市场成交量“七上八下”</w:t>
      </w:r>
      <w:bookmarkEnd w:id="1"/>
    </w:p>
    <w:p>
      <w:pPr>
        <w:pageBreakBefore w:val="0"/>
        <w:widowControl w:val="0"/>
        <w:numPr>
          <w:ilvl w:val="0"/>
          <w:numId w:val="0"/>
        </w:numPr>
        <w:kinsoku/>
        <w:wordWrap/>
        <w:overflowPunct/>
        <w:topLinePunct w:val="0"/>
        <w:autoSpaceDE/>
        <w:autoSpaceDN/>
        <w:bidi w:val="0"/>
        <w:adjustRightInd/>
        <w:snapToGrid/>
        <w:spacing w:before="0" w:line="560" w:lineRule="exact"/>
        <w:ind w:right="0" w:firstLine="640" w:firstLineChars="200"/>
        <w:jc w:val="both"/>
        <w:textAlignment w:val="auto"/>
        <w:rPr>
          <w:rFonts w:hint="default" w:ascii="仿宋" w:hAnsi="仿宋" w:eastAsia="仿宋"/>
          <w:color w:val="auto"/>
          <w:position w:val="0"/>
          <w:sz w:val="32"/>
          <w:szCs w:val="32"/>
        </w:rPr>
      </w:pPr>
      <w:r>
        <w:rPr>
          <w:rFonts w:hint="default" w:ascii="仿宋" w:hAnsi="仿宋" w:eastAsia="仿宋"/>
          <w:color w:val="auto"/>
          <w:position w:val="0"/>
          <w:sz w:val="32"/>
          <w:szCs w:val="32"/>
        </w:rPr>
        <w:t>总体而言，深圳自2007年进入存量房时代之后，二手房市场在深圳楼市</w:t>
      </w:r>
      <w:r>
        <w:rPr>
          <w:rFonts w:hint="eastAsia" w:ascii="仿宋" w:hAnsi="仿宋" w:eastAsia="仿宋"/>
          <w:color w:val="auto"/>
          <w:position w:val="0"/>
          <w:sz w:val="32"/>
          <w:szCs w:val="32"/>
          <w:lang w:eastAsia="zh-CN"/>
        </w:rPr>
        <w:t>中</w:t>
      </w:r>
      <w:r>
        <w:rPr>
          <w:rFonts w:hint="default" w:ascii="仿宋" w:hAnsi="仿宋" w:eastAsia="仿宋"/>
          <w:color w:val="auto"/>
          <w:position w:val="0"/>
          <w:sz w:val="32"/>
          <w:szCs w:val="32"/>
        </w:rPr>
        <w:t>就一直占据着举足轻重的作用。回顾2019年，全年二手房市场的成交量有三个高峰，一个是4月份（粤港澳大湾区规划出台+新版征信传言），</w:t>
      </w:r>
      <w:r>
        <w:rPr>
          <w:rFonts w:hint="eastAsia" w:ascii="仿宋" w:hAnsi="仿宋" w:eastAsia="仿宋"/>
          <w:color w:val="auto"/>
          <w:position w:val="0"/>
          <w:sz w:val="32"/>
          <w:szCs w:val="32"/>
          <w:lang w:eastAsia="zh-CN"/>
        </w:rPr>
        <w:t>另</w:t>
      </w:r>
      <w:r>
        <w:rPr>
          <w:rFonts w:hint="default" w:ascii="仿宋" w:hAnsi="仿宋" w:eastAsia="仿宋"/>
          <w:color w:val="auto"/>
          <w:position w:val="0"/>
          <w:sz w:val="32"/>
          <w:szCs w:val="32"/>
        </w:rPr>
        <w:t>一个是9月份（818深圳先行示范区政策出台+LPR上线），</w:t>
      </w:r>
      <w:r>
        <w:rPr>
          <w:rFonts w:hint="eastAsia" w:ascii="仿宋" w:hAnsi="仿宋" w:eastAsia="仿宋"/>
          <w:color w:val="auto"/>
          <w:position w:val="0"/>
          <w:sz w:val="32"/>
          <w:szCs w:val="32"/>
          <w:lang w:eastAsia="zh-CN"/>
        </w:rPr>
        <w:t>最后</w:t>
      </w:r>
      <w:r>
        <w:rPr>
          <w:rFonts w:hint="default" w:ascii="仿宋" w:hAnsi="仿宋" w:eastAsia="仿宋"/>
          <w:color w:val="auto"/>
          <w:position w:val="0"/>
          <w:sz w:val="32"/>
          <w:szCs w:val="32"/>
        </w:rPr>
        <w:t>一个是11月份（港人16项惠民政策+豪宅税标准调整）。直接拉高了2019年全年二手房市场的成交量。</w:t>
      </w:r>
    </w:p>
    <w:p>
      <w:pPr>
        <w:pageBreakBefore w:val="0"/>
        <w:widowControl w:val="0"/>
        <w:numPr>
          <w:ilvl w:val="0"/>
          <w:numId w:val="0"/>
        </w:numPr>
        <w:kinsoku/>
        <w:wordWrap/>
        <w:overflowPunct/>
        <w:topLinePunct w:val="0"/>
        <w:autoSpaceDE/>
        <w:autoSpaceDN/>
        <w:bidi w:val="0"/>
        <w:adjustRightInd/>
        <w:snapToGrid/>
        <w:spacing w:before="0" w:line="560" w:lineRule="exact"/>
        <w:ind w:right="0" w:firstLine="420" w:firstLineChars="200"/>
        <w:jc w:val="center"/>
        <w:textAlignment w:val="auto"/>
      </w:pPr>
      <w:r>
        <w:drawing>
          <wp:anchor distT="0" distB="0" distL="114300" distR="114300" simplePos="0" relativeHeight="251660288" behindDoc="0" locked="0" layoutInCell="1" allowOverlap="1">
            <wp:simplePos x="0" y="0"/>
            <wp:positionH relativeFrom="column">
              <wp:posOffset>84455</wp:posOffset>
            </wp:positionH>
            <wp:positionV relativeFrom="paragraph">
              <wp:posOffset>57150</wp:posOffset>
            </wp:positionV>
            <wp:extent cx="5395595" cy="3014980"/>
            <wp:effectExtent l="0" t="0" r="14605" b="13970"/>
            <wp:wrapSquare wrapText="bothSides"/>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5"/>
                    <a:stretch>
                      <a:fillRect/>
                    </a:stretch>
                  </pic:blipFill>
                  <pic:spPr>
                    <a:xfrm>
                      <a:off x="0" y="0"/>
                      <a:ext cx="5395595" cy="3014980"/>
                    </a:xfrm>
                    <a:prstGeom prst="rect">
                      <a:avLst/>
                    </a:prstGeom>
                    <a:noFill/>
                    <a:ln>
                      <a:noFill/>
                    </a:ln>
                  </pic:spPr>
                </pic:pic>
              </a:graphicData>
            </a:graphic>
          </wp:anchor>
        </w:drawing>
      </w:r>
      <w:r>
        <w:rPr>
          <w:rFonts w:hint="eastAsia" w:ascii="仿宋" w:hAnsi="仿宋" w:eastAsia="仿宋"/>
          <w:sz w:val="32"/>
          <w:szCs w:val="32"/>
          <w:lang w:eastAsia="zh-CN"/>
        </w:rPr>
        <w:t>（信息来源：</w:t>
      </w:r>
      <w:r>
        <w:rPr>
          <w:rFonts w:hint="default" w:ascii="仿宋" w:hAnsi="仿宋" w:eastAsia="仿宋"/>
          <w:color w:val="auto"/>
          <w:position w:val="0"/>
          <w:sz w:val="32"/>
          <w:szCs w:val="32"/>
        </w:rPr>
        <w:t>深房中协房地产中介行业标准指数</w:t>
      </w:r>
      <w:r>
        <w:rPr>
          <w:rFonts w:hint="eastAsia" w:ascii="仿宋" w:hAnsi="仿宋" w:eastAsia="仿宋"/>
          <w:sz w:val="32"/>
          <w:szCs w:val="32"/>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firstLine="640"/>
        <w:jc w:val="both"/>
        <w:textAlignment w:val="auto"/>
        <w:rPr>
          <w:rFonts w:hint="default" w:ascii="仿宋" w:hAnsi="仿宋" w:eastAsia="仿宋"/>
          <w:color w:val="auto"/>
          <w:position w:val="0"/>
          <w:sz w:val="32"/>
          <w:szCs w:val="32"/>
        </w:rPr>
      </w:pPr>
      <w:bookmarkStart w:id="2" w:name="_Toc2699"/>
      <w:r>
        <w:rPr>
          <w:rFonts w:hint="default" w:ascii="仿宋" w:hAnsi="仿宋" w:eastAsia="仿宋"/>
          <w:color w:val="auto"/>
          <w:position w:val="0"/>
          <w:sz w:val="32"/>
          <w:szCs w:val="32"/>
        </w:rPr>
        <w:t>虽然全年二手房成交量</w:t>
      </w:r>
      <w:r>
        <w:rPr>
          <w:rFonts w:hint="eastAsia" w:ascii="仿宋" w:hAnsi="仿宋" w:eastAsia="仿宋"/>
          <w:color w:val="auto"/>
          <w:position w:val="0"/>
          <w:sz w:val="32"/>
          <w:szCs w:val="32"/>
          <w:lang w:eastAsia="zh-CN"/>
        </w:rPr>
        <w:t>同比大幅上涨</w:t>
      </w:r>
      <w:r>
        <w:rPr>
          <w:rFonts w:hint="default" w:ascii="仿宋" w:hAnsi="仿宋" w:eastAsia="仿宋"/>
          <w:color w:val="auto"/>
          <w:position w:val="0"/>
          <w:sz w:val="32"/>
          <w:szCs w:val="32"/>
        </w:rPr>
        <w:t>，但其中也出现了一些微妙的变化。</w:t>
      </w:r>
    </w:p>
    <w:p>
      <w:pPr>
        <w:pStyle w:val="5"/>
        <w:pageBreakBefore w:val="0"/>
        <w:widowControl w:val="0"/>
        <w:kinsoku/>
        <w:wordWrap/>
        <w:overflowPunct/>
        <w:topLinePunct w:val="0"/>
        <w:autoSpaceDE/>
        <w:autoSpaceDN/>
        <w:bidi w:val="0"/>
        <w:adjustRightInd/>
        <w:snapToGrid/>
        <w:spacing w:before="0" w:after="0" w:line="560" w:lineRule="exact"/>
        <w:ind w:left="0" w:leftChars="0" w:firstLine="643"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二、</w:t>
      </w:r>
      <w:r>
        <w:rPr>
          <w:rFonts w:hint="eastAsia" w:ascii="仿宋" w:hAnsi="仿宋" w:eastAsia="仿宋" w:cs="仿宋"/>
          <w:sz w:val="32"/>
          <w:szCs w:val="32"/>
        </w:rPr>
        <w:t>利好政策的拉动效应周期越来越短</w:t>
      </w:r>
      <w:bookmarkEnd w:id="2"/>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firstLine="640"/>
        <w:jc w:val="both"/>
        <w:textAlignment w:val="auto"/>
        <w:rPr>
          <w:rFonts w:hint="default" w:ascii="仿宋" w:hAnsi="仿宋" w:eastAsia="仿宋"/>
          <w:color w:val="000000"/>
          <w:position w:val="0"/>
          <w:sz w:val="32"/>
          <w:szCs w:val="32"/>
        </w:rPr>
      </w:pPr>
      <w:r>
        <w:rPr>
          <w:rFonts w:hint="default" w:ascii="仿宋" w:hAnsi="仿宋" w:eastAsia="仿宋"/>
          <w:color w:val="auto"/>
          <w:position w:val="0"/>
          <w:sz w:val="32"/>
          <w:szCs w:val="32"/>
        </w:rPr>
        <w:t>这主要体现在利好政策发布的初期，对楼市的刺激拉动作用明显，但这个刺激拉动效应在短时间内就被市场所吸收适应，成交量便会</w:t>
      </w:r>
      <w:r>
        <w:rPr>
          <w:rFonts w:hint="eastAsia" w:ascii="仿宋" w:hAnsi="仿宋" w:eastAsia="仿宋"/>
          <w:color w:val="auto"/>
          <w:position w:val="0"/>
          <w:sz w:val="32"/>
          <w:szCs w:val="32"/>
          <w:lang w:eastAsia="zh-CN"/>
        </w:rPr>
        <w:t>在短时间内</w:t>
      </w:r>
      <w:r>
        <w:rPr>
          <w:rFonts w:hint="default" w:ascii="仿宋" w:hAnsi="仿宋" w:eastAsia="仿宋"/>
          <w:color w:val="auto"/>
          <w:position w:val="0"/>
          <w:sz w:val="32"/>
          <w:szCs w:val="32"/>
        </w:rPr>
        <w:t>立即回落至正常水平。</w:t>
      </w:r>
      <w:r>
        <w:rPr>
          <w:rFonts w:hint="default" w:ascii="仿宋" w:hAnsi="仿宋" w:eastAsia="仿宋"/>
          <w:color w:val="000000"/>
          <w:position w:val="0"/>
          <w:sz w:val="32"/>
          <w:szCs w:val="32"/>
        </w:rPr>
        <w:t>这一点我们以</w:t>
      </w:r>
      <w:r>
        <w:rPr>
          <w:rFonts w:hint="eastAsia" w:ascii="仿宋" w:hAnsi="仿宋" w:eastAsia="仿宋"/>
          <w:color w:val="000000"/>
          <w:position w:val="0"/>
          <w:sz w:val="32"/>
          <w:szCs w:val="32"/>
          <w:lang w:val="en-US" w:eastAsia="zh-CN"/>
        </w:rPr>
        <w:t>9</w:t>
      </w:r>
      <w:r>
        <w:rPr>
          <w:rFonts w:hint="default" w:ascii="仿宋" w:hAnsi="仿宋" w:eastAsia="仿宋"/>
          <w:color w:val="000000"/>
          <w:position w:val="0"/>
          <w:sz w:val="32"/>
          <w:szCs w:val="32"/>
        </w:rPr>
        <w:t>月份全市二手房网签量</w:t>
      </w:r>
      <w:r>
        <w:rPr>
          <w:rFonts w:hint="eastAsia" w:ascii="仿宋" w:hAnsi="仿宋" w:eastAsia="仿宋"/>
          <w:color w:val="000000"/>
          <w:position w:val="0"/>
          <w:sz w:val="32"/>
          <w:szCs w:val="32"/>
          <w:lang w:eastAsia="zh-CN"/>
        </w:rPr>
        <w:t>的</w:t>
      </w:r>
      <w:r>
        <w:rPr>
          <w:rFonts w:hint="default" w:ascii="仿宋" w:hAnsi="仿宋" w:eastAsia="仿宋"/>
          <w:color w:val="000000"/>
          <w:position w:val="0"/>
          <w:sz w:val="32"/>
          <w:szCs w:val="32"/>
        </w:rPr>
        <w:t>数据为例，当月二手房网签量达到</w:t>
      </w:r>
      <w:r>
        <w:rPr>
          <w:rFonts w:hint="eastAsia" w:ascii="仿宋" w:hAnsi="仿宋" w:eastAsia="仿宋"/>
          <w:color w:val="000000"/>
          <w:position w:val="0"/>
          <w:sz w:val="32"/>
          <w:szCs w:val="32"/>
          <w:lang w:val="en-US" w:eastAsia="zh-CN"/>
        </w:rPr>
        <w:t>11156</w:t>
      </w:r>
      <w:r>
        <w:rPr>
          <w:rFonts w:hint="default" w:ascii="仿宋" w:hAnsi="仿宋" w:eastAsia="仿宋"/>
          <w:color w:val="000000"/>
          <w:position w:val="0"/>
          <w:sz w:val="32"/>
          <w:szCs w:val="32"/>
        </w:rPr>
        <w:t>套，环比大涨</w:t>
      </w:r>
      <w:r>
        <w:rPr>
          <w:rFonts w:hint="eastAsia" w:ascii="仿宋" w:hAnsi="仿宋" w:eastAsia="仿宋"/>
          <w:color w:val="000000"/>
          <w:position w:val="0"/>
          <w:sz w:val="32"/>
          <w:szCs w:val="32"/>
          <w:lang w:val="en-US" w:eastAsia="zh-CN"/>
        </w:rPr>
        <w:t>62.7</w:t>
      </w:r>
      <w:r>
        <w:rPr>
          <w:rFonts w:hint="default" w:ascii="仿宋" w:hAnsi="仿宋" w:eastAsia="仿宋"/>
          <w:color w:val="000000"/>
          <w:position w:val="0"/>
          <w:sz w:val="32"/>
          <w:szCs w:val="32"/>
        </w:rPr>
        <w:t>%，创下2019年下半年以来的次新高！但至</w:t>
      </w:r>
      <w:r>
        <w:rPr>
          <w:rFonts w:hint="eastAsia" w:ascii="仿宋" w:hAnsi="仿宋" w:eastAsia="仿宋"/>
          <w:color w:val="000000"/>
          <w:position w:val="0"/>
          <w:sz w:val="32"/>
          <w:szCs w:val="32"/>
          <w:lang w:val="en-US" w:eastAsia="zh-CN"/>
        </w:rPr>
        <w:t>10月</w:t>
      </w:r>
      <w:r>
        <w:rPr>
          <w:rFonts w:hint="default" w:ascii="仿宋" w:hAnsi="仿宋" w:eastAsia="仿宋"/>
          <w:color w:val="000000"/>
          <w:position w:val="0"/>
          <w:sz w:val="32"/>
          <w:szCs w:val="32"/>
        </w:rPr>
        <w:t>，二手房网签量走势</w:t>
      </w:r>
      <w:r>
        <w:rPr>
          <w:rFonts w:hint="eastAsia" w:ascii="仿宋" w:hAnsi="仿宋" w:eastAsia="仿宋"/>
          <w:color w:val="000000"/>
          <w:position w:val="0"/>
          <w:sz w:val="32"/>
          <w:szCs w:val="32"/>
          <w:lang w:eastAsia="zh-CN"/>
        </w:rPr>
        <w:t>便立刻</w:t>
      </w:r>
      <w:r>
        <w:rPr>
          <w:rFonts w:hint="default" w:ascii="仿宋" w:hAnsi="仿宋" w:eastAsia="仿宋"/>
          <w:color w:val="000000"/>
          <w:position w:val="0"/>
          <w:sz w:val="32"/>
          <w:szCs w:val="32"/>
        </w:rPr>
        <w:t>出现了回调态势，即成交量环比</w:t>
      </w:r>
      <w:r>
        <w:rPr>
          <w:rFonts w:hint="eastAsia" w:ascii="仿宋" w:hAnsi="仿宋" w:eastAsia="仿宋"/>
          <w:color w:val="000000"/>
          <w:position w:val="0"/>
          <w:sz w:val="32"/>
          <w:szCs w:val="32"/>
          <w:lang w:eastAsia="zh-CN"/>
        </w:rPr>
        <w:t>大幅</w:t>
      </w:r>
      <w:r>
        <w:rPr>
          <w:rFonts w:hint="default" w:ascii="仿宋" w:hAnsi="仿宋" w:eastAsia="仿宋"/>
          <w:color w:val="000000"/>
          <w:position w:val="0"/>
          <w:sz w:val="32"/>
          <w:szCs w:val="32"/>
        </w:rPr>
        <w:t>下跌</w:t>
      </w:r>
      <w:r>
        <w:rPr>
          <w:rFonts w:hint="eastAsia" w:ascii="仿宋" w:hAnsi="仿宋" w:eastAsia="仿宋"/>
          <w:color w:val="000000"/>
          <w:position w:val="0"/>
          <w:sz w:val="32"/>
          <w:szCs w:val="32"/>
          <w:lang w:val="en-US" w:eastAsia="zh-CN"/>
        </w:rPr>
        <w:t>47.4</w:t>
      </w:r>
      <w:r>
        <w:rPr>
          <w:rFonts w:hint="default" w:ascii="仿宋" w:hAnsi="仿宋" w:eastAsia="仿宋"/>
          <w:color w:val="000000"/>
          <w:position w:val="0"/>
          <w:sz w:val="32"/>
          <w:szCs w:val="32"/>
        </w:rPr>
        <w:t>%，说明</w:t>
      </w:r>
      <w:r>
        <w:rPr>
          <w:rFonts w:hint="eastAsia" w:ascii="仿宋" w:hAnsi="仿宋" w:eastAsia="仿宋"/>
          <w:color w:val="000000"/>
          <w:position w:val="0"/>
          <w:sz w:val="32"/>
          <w:szCs w:val="32"/>
          <w:lang w:val="en-US" w:eastAsia="zh-CN"/>
        </w:rPr>
        <w:t>818新</w:t>
      </w:r>
      <w:r>
        <w:rPr>
          <w:rFonts w:hint="default" w:ascii="仿宋" w:hAnsi="仿宋" w:eastAsia="仿宋"/>
          <w:color w:val="000000"/>
          <w:position w:val="0"/>
          <w:sz w:val="32"/>
          <w:szCs w:val="32"/>
        </w:rPr>
        <w:t>政</w:t>
      </w:r>
      <w:r>
        <w:rPr>
          <w:rFonts w:hint="eastAsia" w:ascii="仿宋" w:hAnsi="仿宋" w:eastAsia="仿宋"/>
          <w:color w:val="000000"/>
          <w:position w:val="0"/>
          <w:sz w:val="32"/>
          <w:szCs w:val="32"/>
          <w:lang w:eastAsia="zh-CN"/>
        </w:rPr>
        <w:t>对楼市影响</w:t>
      </w:r>
      <w:r>
        <w:rPr>
          <w:rFonts w:hint="default" w:ascii="仿宋" w:hAnsi="仿宋" w:eastAsia="仿宋"/>
          <w:color w:val="000000"/>
          <w:position w:val="0"/>
          <w:sz w:val="32"/>
          <w:szCs w:val="32"/>
        </w:rPr>
        <w:t>的边际效应逐步递减。</w:t>
      </w:r>
    </w:p>
    <w:p>
      <w:pPr>
        <w:pStyle w:val="5"/>
        <w:pageBreakBefore w:val="0"/>
        <w:widowControl w:val="0"/>
        <w:kinsoku/>
        <w:wordWrap/>
        <w:overflowPunct/>
        <w:topLinePunct w:val="0"/>
        <w:autoSpaceDE/>
        <w:autoSpaceDN/>
        <w:bidi w:val="0"/>
        <w:adjustRightInd/>
        <w:snapToGrid/>
        <w:spacing w:before="0" w:after="0" w:line="560" w:lineRule="exact"/>
        <w:ind w:left="0" w:leftChars="0" w:firstLine="643" w:firstLineChars="200"/>
        <w:textAlignment w:val="auto"/>
        <w:rPr>
          <w:rFonts w:hint="eastAsia" w:ascii="仿宋" w:hAnsi="仿宋" w:eastAsia="仿宋" w:cs="仿宋"/>
          <w:sz w:val="32"/>
          <w:szCs w:val="32"/>
        </w:rPr>
      </w:pPr>
      <w:bookmarkStart w:id="3" w:name="_Toc4777"/>
      <w:r>
        <w:rPr>
          <w:rFonts w:hint="eastAsia" w:ascii="仿宋" w:hAnsi="仿宋" w:eastAsia="仿宋" w:cs="仿宋"/>
          <w:sz w:val="32"/>
          <w:szCs w:val="32"/>
          <w:lang w:eastAsia="zh-CN"/>
        </w:rPr>
        <w:t>三、</w:t>
      </w:r>
      <w:r>
        <w:rPr>
          <w:rFonts w:hint="eastAsia" w:ascii="仿宋" w:hAnsi="仿宋" w:eastAsia="仿宋" w:cs="仿宋"/>
          <w:sz w:val="32"/>
          <w:szCs w:val="32"/>
        </w:rPr>
        <w:t>项目分化持续加剧</w:t>
      </w:r>
      <w:bookmarkEnd w:id="3"/>
    </w:p>
    <w:p>
      <w:pPr>
        <w:pageBreakBefore w:val="0"/>
        <w:widowControl w:val="0"/>
        <w:numPr>
          <w:ilvl w:val="0"/>
          <w:numId w:val="0"/>
        </w:numPr>
        <w:shd w:val="clear" w:color="000000" w:fill="FFFFFF"/>
        <w:kinsoku/>
        <w:wordWrap/>
        <w:overflowPunct/>
        <w:topLinePunct w:val="0"/>
        <w:autoSpaceDE/>
        <w:autoSpaceDN/>
        <w:bidi w:val="0"/>
        <w:adjustRightInd/>
        <w:snapToGrid/>
        <w:spacing w:before="0" w:line="560" w:lineRule="exact"/>
        <w:ind w:right="0" w:firstLine="640"/>
        <w:jc w:val="left"/>
        <w:textAlignment w:val="auto"/>
        <w:rPr>
          <w:rFonts w:hint="default" w:ascii="仿宋" w:hAnsi="仿宋" w:eastAsia="仿宋"/>
          <w:color w:val="000000"/>
          <w:position w:val="0"/>
          <w:sz w:val="32"/>
          <w:szCs w:val="32"/>
        </w:rPr>
      </w:pPr>
      <w:r>
        <w:rPr>
          <w:rFonts w:hint="default" w:ascii="仿宋" w:hAnsi="仿宋" w:eastAsia="仿宋"/>
          <w:color w:val="000000"/>
          <w:position w:val="0"/>
          <w:sz w:val="32"/>
          <w:szCs w:val="32"/>
        </w:rPr>
        <w:t>事实上，深圳自818先行示范区政策公布之后，鉴于深圳商务公寓项目不受限购限贷政策的影响，一时间吸引了大量“无房票”的刚需以及投资者进入，短时间内推高了深圳商务公寓的成交量。根据</w:t>
      </w:r>
      <w:r>
        <w:rPr>
          <w:rFonts w:hint="default" w:ascii="仿宋" w:hAnsi="仿宋" w:eastAsia="仿宋"/>
          <w:color w:val="auto"/>
          <w:position w:val="0"/>
          <w:sz w:val="32"/>
          <w:szCs w:val="32"/>
        </w:rPr>
        <w:t>深房中协房地产中介行业标准指数</w:t>
      </w:r>
      <w:r>
        <w:rPr>
          <w:rFonts w:hint="default" w:ascii="仿宋" w:hAnsi="仿宋" w:eastAsia="仿宋"/>
          <w:color w:val="000000"/>
          <w:position w:val="0"/>
          <w:sz w:val="32"/>
          <w:szCs w:val="32"/>
        </w:rPr>
        <w:t>统计，2018年9月至1</w:t>
      </w:r>
      <w:r>
        <w:rPr>
          <w:rFonts w:hint="eastAsia" w:ascii="仿宋" w:hAnsi="仿宋" w:eastAsia="仿宋"/>
          <w:color w:val="000000"/>
          <w:position w:val="0"/>
          <w:sz w:val="32"/>
          <w:szCs w:val="32"/>
          <w:lang w:val="en-US" w:eastAsia="zh-CN"/>
        </w:rPr>
        <w:t>2</w:t>
      </w:r>
      <w:r>
        <w:rPr>
          <w:rFonts w:hint="default" w:ascii="仿宋" w:hAnsi="仿宋" w:eastAsia="仿宋"/>
          <w:color w:val="000000"/>
          <w:position w:val="0"/>
          <w:sz w:val="32"/>
          <w:szCs w:val="32"/>
        </w:rPr>
        <w:t>月份我市共成交</w:t>
      </w:r>
      <w:r>
        <w:rPr>
          <w:rFonts w:hint="eastAsia" w:ascii="仿宋" w:hAnsi="仿宋" w:eastAsia="仿宋"/>
          <w:color w:val="000000"/>
          <w:position w:val="0"/>
          <w:sz w:val="32"/>
          <w:szCs w:val="32"/>
          <w:lang w:val="en-US" w:eastAsia="zh-CN"/>
        </w:rPr>
        <w:t>5009</w:t>
      </w:r>
      <w:r>
        <w:rPr>
          <w:rFonts w:hint="default" w:ascii="仿宋" w:hAnsi="仿宋" w:eastAsia="仿宋"/>
          <w:color w:val="000000"/>
          <w:position w:val="0"/>
          <w:sz w:val="32"/>
          <w:szCs w:val="32"/>
        </w:rPr>
        <w:t>套商业项目（含商务公寓），2019年9月至</w:t>
      </w:r>
      <w:r>
        <w:rPr>
          <w:rFonts w:hint="eastAsia" w:ascii="仿宋" w:hAnsi="仿宋" w:eastAsia="仿宋"/>
          <w:color w:val="000000"/>
          <w:position w:val="0"/>
          <w:sz w:val="32"/>
          <w:szCs w:val="32"/>
          <w:lang w:val="en-US" w:eastAsia="zh-CN"/>
        </w:rPr>
        <w:t>12</w:t>
      </w:r>
      <w:r>
        <w:rPr>
          <w:rFonts w:hint="default" w:ascii="仿宋" w:hAnsi="仿宋" w:eastAsia="仿宋"/>
          <w:color w:val="000000"/>
          <w:position w:val="0"/>
          <w:sz w:val="32"/>
          <w:szCs w:val="32"/>
        </w:rPr>
        <w:t>月，我市共成交</w:t>
      </w:r>
      <w:r>
        <w:rPr>
          <w:rFonts w:hint="eastAsia" w:ascii="仿宋" w:hAnsi="仿宋" w:eastAsia="仿宋"/>
          <w:color w:val="000000"/>
          <w:position w:val="0"/>
          <w:sz w:val="32"/>
          <w:szCs w:val="32"/>
          <w:lang w:val="en-US" w:eastAsia="zh-CN"/>
        </w:rPr>
        <w:t>6643</w:t>
      </w:r>
      <w:r>
        <w:rPr>
          <w:rFonts w:hint="default" w:ascii="仿宋" w:hAnsi="仿宋" w:eastAsia="仿宋"/>
          <w:color w:val="000000"/>
          <w:position w:val="0"/>
          <w:sz w:val="32"/>
          <w:szCs w:val="32"/>
        </w:rPr>
        <w:t>套（含商务公寓），同比上涨</w:t>
      </w:r>
      <w:r>
        <w:rPr>
          <w:rFonts w:hint="eastAsia" w:ascii="仿宋" w:hAnsi="仿宋" w:eastAsia="仿宋"/>
          <w:color w:val="000000"/>
          <w:position w:val="0"/>
          <w:sz w:val="32"/>
          <w:szCs w:val="32"/>
          <w:lang w:val="en-US" w:eastAsia="zh-CN"/>
        </w:rPr>
        <w:t>32.6</w:t>
      </w:r>
      <w:r>
        <w:rPr>
          <w:rFonts w:hint="default" w:ascii="仿宋" w:hAnsi="仿宋" w:eastAsia="仿宋"/>
          <w:color w:val="000000"/>
          <w:position w:val="0"/>
          <w:sz w:val="32"/>
          <w:szCs w:val="32"/>
        </w:rPr>
        <w:t xml:space="preserve">%。可以直观地看出深圳商务公寓的需求量仍较为强劲。 </w:t>
      </w:r>
    </w:p>
    <w:p>
      <w:pPr>
        <w:numPr>
          <w:ilvl w:val="0"/>
          <w:numId w:val="0"/>
        </w:numPr>
        <w:autoSpaceDE/>
        <w:autoSpaceDN/>
        <w:spacing w:before="0" w:after="160" w:line="560" w:lineRule="exact"/>
        <w:ind w:right="0" w:firstLine="640"/>
        <w:jc w:val="both"/>
        <w:rPr>
          <w:rFonts w:hint="default" w:ascii="仿宋" w:hAnsi="仿宋" w:eastAsia="仿宋"/>
          <w:color w:val="000000"/>
          <w:position w:val="0"/>
          <w:sz w:val="32"/>
          <w:szCs w:val="32"/>
        </w:rPr>
      </w:pPr>
      <w:r>
        <w:rPr>
          <w:rFonts w:hint="default" w:ascii="仿宋" w:hAnsi="仿宋" w:eastAsia="仿宋"/>
          <w:color w:val="000000"/>
          <w:position w:val="0"/>
          <w:sz w:val="32"/>
          <w:szCs w:val="32"/>
        </w:rPr>
        <w:t>但是上述的这种对商务公寓的需求强劲，仅仅局限于一手商务公寓，二手商务公寓却始终“不温不火”。究其原因，主要还是2018年“深四条”中关于个人、企事业单位新购买的商务公寓限售5年的相关规定，并未在此次商务公寓取消“只租不售”限制政策</w:t>
      </w:r>
      <w:r>
        <w:rPr>
          <w:rFonts w:hint="eastAsia" w:ascii="仿宋" w:hAnsi="仿宋" w:eastAsia="仿宋"/>
          <w:color w:val="000000"/>
          <w:position w:val="0"/>
          <w:sz w:val="32"/>
          <w:szCs w:val="32"/>
          <w:lang w:eastAsia="zh-CN"/>
        </w:rPr>
        <w:t>的</w:t>
      </w:r>
      <w:r>
        <w:rPr>
          <w:rFonts w:hint="default" w:ascii="仿宋" w:hAnsi="仿宋" w:eastAsia="仿宋"/>
          <w:color w:val="000000"/>
          <w:position w:val="0"/>
          <w:sz w:val="32"/>
          <w:szCs w:val="32"/>
        </w:rPr>
        <w:t>范围内</w:t>
      </w:r>
      <w:r>
        <w:rPr>
          <w:rFonts w:hint="eastAsia" w:ascii="仿宋" w:hAnsi="仿宋" w:eastAsia="仿宋"/>
          <w:color w:val="000000"/>
          <w:position w:val="0"/>
          <w:sz w:val="32"/>
          <w:szCs w:val="32"/>
          <w:lang w:eastAsia="zh-CN"/>
        </w:rPr>
        <w:t>，</w:t>
      </w:r>
      <w:r>
        <w:rPr>
          <w:rFonts w:hint="default" w:ascii="仿宋" w:hAnsi="仿宋" w:eastAsia="仿宋"/>
          <w:color w:val="000000"/>
          <w:position w:val="0"/>
          <w:sz w:val="32"/>
          <w:szCs w:val="32"/>
        </w:rPr>
        <w:t>一定程度上还是制约了二手商务公寓的流转。此外，商务公寓属于商业性质项目，在二手房流转环节的交易税费，显然也高于商品住宅，这在一定程度上也制约了二手商务公寓的流转。</w:t>
      </w:r>
      <w:bookmarkStart w:id="6" w:name="_GoBack"/>
      <w:bookmarkEnd w:id="6"/>
    </w:p>
    <w:p>
      <w:pPr>
        <w:numPr>
          <w:ilvl w:val="0"/>
          <w:numId w:val="0"/>
        </w:numPr>
        <w:autoSpaceDE/>
        <w:autoSpaceDN/>
        <w:spacing w:before="0" w:after="160" w:line="240" w:lineRule="auto"/>
        <w:ind w:right="0" w:firstLine="420"/>
        <w:jc w:val="both"/>
        <w:rPr>
          <w:rFonts w:hint="eastAsia" w:ascii="仿宋" w:hAnsi="仿宋" w:eastAsia="仿宋"/>
          <w:color w:val="000000"/>
          <w:position w:val="0"/>
          <w:sz w:val="32"/>
          <w:szCs w:val="32"/>
          <w:lang w:eastAsia="zh-CN"/>
        </w:rPr>
      </w:pPr>
      <w:r>
        <w:rPr>
          <w:rFonts w:hint="eastAsia" w:ascii="仿宋" w:hAnsi="仿宋" w:eastAsia="仿宋"/>
          <w:color w:val="000000"/>
          <w:position w:val="0"/>
          <w:sz w:val="32"/>
          <w:szCs w:val="32"/>
          <w:lang w:eastAsia="zh-CN"/>
        </w:rPr>
        <w:drawing>
          <wp:inline distT="0" distB="0" distL="114300" distR="114300">
            <wp:extent cx="4708525" cy="3645535"/>
            <wp:effectExtent l="4445" t="4445" r="11430" b="7620"/>
            <wp:docPr id="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center"/>
        <w:textAlignment w:val="auto"/>
      </w:pPr>
      <w:r>
        <w:rPr>
          <w:rFonts w:hint="eastAsia" w:ascii="仿宋" w:hAnsi="仿宋" w:eastAsia="仿宋"/>
          <w:sz w:val="32"/>
          <w:szCs w:val="32"/>
          <w:lang w:eastAsia="zh-CN"/>
        </w:rPr>
        <w:t>（信息来源：</w:t>
      </w:r>
      <w:r>
        <w:rPr>
          <w:rFonts w:hint="eastAsia" w:ascii="仿宋" w:hAnsi="仿宋" w:eastAsia="仿宋"/>
          <w:sz w:val="32"/>
          <w:szCs w:val="32"/>
        </w:rPr>
        <w:t>深房中协标准指数</w:t>
      </w:r>
      <w:r>
        <w:rPr>
          <w:rFonts w:hint="eastAsia" w:ascii="仿宋" w:hAnsi="仿宋" w:eastAsia="仿宋"/>
          <w:sz w:val="32"/>
          <w:szCs w:val="32"/>
          <w:lang w:eastAsia="zh-CN"/>
        </w:rPr>
        <w:t>）</w:t>
      </w:r>
    </w:p>
    <w:p>
      <w:pPr>
        <w:pStyle w:val="4"/>
        <w:pageBreakBefore w:val="0"/>
        <w:widowControl w:val="0"/>
        <w:numPr>
          <w:ilvl w:val="0"/>
          <w:numId w:val="0"/>
        </w:numPr>
        <w:kinsoku/>
        <w:wordWrap/>
        <w:overflowPunct/>
        <w:topLinePunct w:val="0"/>
        <w:autoSpaceDE/>
        <w:autoSpaceDN/>
        <w:bidi w:val="0"/>
        <w:adjustRightInd/>
        <w:snapToGrid/>
        <w:spacing w:before="0" w:after="0" w:line="560" w:lineRule="exact"/>
        <w:ind w:right="0" w:firstLine="643" w:firstLineChars="200"/>
        <w:jc w:val="both"/>
        <w:textAlignment w:val="auto"/>
        <w:outlineLvl w:val="2"/>
        <w:rPr>
          <w:rFonts w:hint="default" w:ascii="仿宋" w:hAnsi="仿宋" w:eastAsia="仿宋"/>
          <w:b w:val="0"/>
          <w:color w:val="auto"/>
          <w:position w:val="0"/>
          <w:sz w:val="32"/>
          <w:szCs w:val="32"/>
        </w:rPr>
      </w:pPr>
      <w:bookmarkStart w:id="4" w:name="_Toc2579"/>
      <w:bookmarkStart w:id="5" w:name="_Toc31998"/>
      <w:r>
        <w:rPr>
          <w:rFonts w:hint="eastAsia" w:ascii="仿宋" w:hAnsi="仿宋" w:eastAsia="仿宋"/>
          <w:b/>
          <w:color w:val="auto"/>
          <w:position w:val="0"/>
          <w:sz w:val="32"/>
          <w:szCs w:val="32"/>
          <w:lang w:eastAsia="zh-CN"/>
        </w:rPr>
        <w:t>四、</w:t>
      </w:r>
      <w:r>
        <w:rPr>
          <w:rFonts w:hint="default" w:ascii="仿宋" w:hAnsi="仿宋" w:eastAsia="仿宋"/>
          <w:b/>
          <w:color w:val="auto"/>
          <w:position w:val="0"/>
          <w:sz w:val="32"/>
          <w:szCs w:val="32"/>
        </w:rPr>
        <w:t>一手住宅</w:t>
      </w:r>
      <w:r>
        <w:rPr>
          <w:rFonts w:hint="eastAsia" w:ascii="仿宋" w:hAnsi="仿宋" w:eastAsia="仿宋"/>
          <w:b/>
          <w:color w:val="auto"/>
          <w:position w:val="0"/>
          <w:sz w:val="32"/>
          <w:szCs w:val="32"/>
          <w:lang w:eastAsia="zh-CN"/>
        </w:rPr>
        <w:t>供需结构性矛盾突出，</w:t>
      </w:r>
      <w:r>
        <w:rPr>
          <w:rFonts w:hint="default" w:ascii="仿宋" w:hAnsi="仿宋" w:eastAsia="仿宋"/>
          <w:b/>
          <w:color w:val="auto"/>
          <w:position w:val="0"/>
          <w:sz w:val="32"/>
          <w:szCs w:val="32"/>
        </w:rPr>
        <w:t>成交量表现“乏善可陈”</w:t>
      </w:r>
      <w:bookmarkEnd w:id="4"/>
    </w:p>
    <w:p>
      <w:pPr>
        <w:pageBreakBefore w:val="0"/>
        <w:widowControl w:val="0"/>
        <w:numPr>
          <w:ilvl w:val="0"/>
          <w:numId w:val="0"/>
        </w:numPr>
        <w:kinsoku/>
        <w:wordWrap/>
        <w:overflowPunct/>
        <w:topLinePunct w:val="0"/>
        <w:autoSpaceDE/>
        <w:autoSpaceDN/>
        <w:bidi w:val="0"/>
        <w:adjustRightInd/>
        <w:snapToGrid/>
        <w:spacing w:line="560" w:lineRule="exact"/>
        <w:ind w:right="0" w:firstLine="640" w:firstLineChars="200"/>
        <w:jc w:val="both"/>
        <w:textAlignment w:val="auto"/>
        <w:rPr>
          <w:rFonts w:hint="default" w:ascii="仿宋" w:hAnsi="仿宋" w:eastAsia="仿宋"/>
          <w:color w:val="auto"/>
          <w:position w:val="0"/>
          <w:sz w:val="32"/>
          <w:szCs w:val="32"/>
        </w:rPr>
      </w:pPr>
      <w:r>
        <w:rPr>
          <w:rFonts w:hint="default" w:ascii="仿宋" w:hAnsi="仿宋" w:eastAsia="仿宋"/>
          <w:color w:val="auto"/>
          <w:position w:val="0"/>
          <w:sz w:val="32"/>
          <w:szCs w:val="32"/>
        </w:rPr>
        <w:t>根据深房中协房地产中介行业标准指数统计，2019年我市一手住宅共计成交</w:t>
      </w:r>
      <w:r>
        <w:rPr>
          <w:rFonts w:hint="eastAsia" w:ascii="仿宋" w:hAnsi="仿宋" w:eastAsia="仿宋"/>
          <w:color w:val="auto"/>
          <w:position w:val="0"/>
          <w:sz w:val="32"/>
          <w:szCs w:val="32"/>
          <w:lang w:val="en-US" w:eastAsia="zh-CN"/>
        </w:rPr>
        <w:t>30623</w:t>
      </w:r>
      <w:r>
        <w:rPr>
          <w:rFonts w:hint="default" w:ascii="仿宋" w:hAnsi="仿宋" w:eastAsia="仿宋"/>
          <w:color w:val="auto"/>
          <w:position w:val="0"/>
          <w:sz w:val="32"/>
          <w:szCs w:val="32"/>
        </w:rPr>
        <w:t>套，同比去年</w:t>
      </w:r>
      <w:r>
        <w:rPr>
          <w:rFonts w:hint="eastAsia" w:ascii="仿宋" w:hAnsi="仿宋" w:eastAsia="仿宋"/>
          <w:color w:val="auto"/>
          <w:position w:val="0"/>
          <w:sz w:val="32"/>
          <w:szCs w:val="32"/>
          <w:lang w:eastAsia="zh-CN"/>
        </w:rPr>
        <w:t>仅小幅上涨</w:t>
      </w:r>
      <w:r>
        <w:rPr>
          <w:rFonts w:hint="eastAsia" w:ascii="仿宋" w:hAnsi="仿宋" w:eastAsia="仿宋"/>
          <w:color w:val="auto"/>
          <w:position w:val="0"/>
          <w:sz w:val="32"/>
          <w:szCs w:val="32"/>
          <w:lang w:val="en-US" w:eastAsia="zh-CN"/>
        </w:rPr>
        <w:t>4.2</w:t>
      </w:r>
      <w:r>
        <w:rPr>
          <w:rFonts w:hint="default" w:ascii="仿宋" w:hAnsi="仿宋" w:eastAsia="仿宋"/>
          <w:color w:val="auto"/>
          <w:position w:val="0"/>
          <w:sz w:val="32"/>
          <w:szCs w:val="32"/>
        </w:rPr>
        <w:t>%。从全年的一手住宅成交走势分析全年一手住宅成交高峰为4月份，达到4605套。究其原因除了供应的增加外，主要受3月份粤港澳大湾区规划政策出台的利好影响，以及当时所谓的新版征信上线传言，在短时间内推高了4月份的一手住宅走势。但随后，随着征信事件被辟谣，市场迅速降温，虽然全年新盘供应较多，但仍难有大的作为。一是我市新盘供应大多集中在龙岗、坪山等东部片区，但东部片区整体供应较为充裕，而传统的南山、福田等中心城区以及宝安等西部新兴片区的供应总体不及东部片区，使得新房供应量在总体较高的情况下，区域间的供应不平衡却仍没有得到缓解，即新房供应结构性矛盾没有得到改善。最终使得多元化需求的购房者被分流制二手房市场以及商务公寓市场领域。</w:t>
      </w:r>
    </w:p>
    <w:p>
      <w:pPr>
        <w:pageBreakBefore w:val="0"/>
        <w:widowControl w:val="0"/>
        <w:numPr>
          <w:ilvl w:val="0"/>
          <w:numId w:val="0"/>
        </w:numPr>
        <w:kinsoku/>
        <w:wordWrap/>
        <w:overflowPunct/>
        <w:topLinePunct w:val="0"/>
        <w:autoSpaceDE/>
        <w:autoSpaceDN/>
        <w:bidi w:val="0"/>
        <w:adjustRightInd/>
        <w:snapToGrid/>
        <w:spacing w:before="0" w:line="560" w:lineRule="exact"/>
        <w:ind w:right="0" w:firstLine="640"/>
        <w:jc w:val="both"/>
        <w:textAlignment w:val="auto"/>
        <w:rPr>
          <w:rFonts w:hint="default" w:ascii="仿宋" w:hAnsi="仿宋" w:eastAsia="仿宋"/>
          <w:color w:val="auto"/>
          <w:position w:val="0"/>
          <w:sz w:val="32"/>
          <w:szCs w:val="32"/>
        </w:rPr>
      </w:pPr>
      <w:r>
        <w:rPr>
          <w:rFonts w:hint="default" w:ascii="仿宋" w:hAnsi="仿宋" w:eastAsia="仿宋"/>
          <w:color w:val="auto"/>
          <w:position w:val="0"/>
          <w:sz w:val="32"/>
          <w:szCs w:val="32"/>
        </w:rPr>
        <w:t>所以，我们在2019年看到</w:t>
      </w:r>
      <w:r>
        <w:rPr>
          <w:rFonts w:hint="eastAsia" w:ascii="仿宋" w:hAnsi="仿宋" w:eastAsia="仿宋"/>
          <w:color w:val="auto"/>
          <w:position w:val="0"/>
          <w:sz w:val="32"/>
          <w:szCs w:val="32"/>
          <w:lang w:eastAsia="zh-CN"/>
        </w:rPr>
        <w:t>，</w:t>
      </w:r>
      <w:r>
        <w:rPr>
          <w:rFonts w:hint="default" w:ascii="仿宋" w:hAnsi="仿宋" w:eastAsia="仿宋"/>
          <w:color w:val="auto"/>
          <w:position w:val="0"/>
          <w:sz w:val="32"/>
          <w:szCs w:val="32"/>
        </w:rPr>
        <w:t>深圳一手住宅市场区域间的分化在不断加剧，南山、福田等核心片区的一手项目因为受到价格备案管制等因素的影响，与周边二手房价格形成倒挂现象，导致优质片区的优质一手住宅项目“一房难求”的抢购现象频频出现，而大部分东部片区的一手住宅项目，一方面由于供应的持续加大，以及与周边二手住宅项目的优势不明显，最终导致东部片区的一手住宅项目整体去化情况不理想。</w:t>
      </w:r>
    </w:p>
    <w:bookmarkEnd w:id="5"/>
    <w:p>
      <w:pPr>
        <w:ind w:firstLine="960" w:firstLineChars="300"/>
        <w:rPr>
          <w:rFonts w:ascii="仿宋" w:hAnsi="仿宋" w:eastAsia="仿宋" w:cs="仿宋"/>
          <w:color w:val="000000"/>
          <w:sz w:val="32"/>
          <w:szCs w:val="32"/>
        </w:rPr>
      </w:pPr>
    </w:p>
    <w:sectPr>
      <w:pgSz w:w="11906" w:h="16838"/>
      <w:pgMar w:top="1701" w:right="1701" w:bottom="1588" w:left="1701" w:header="851" w:footer="1134"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Malgun Gothic">
    <w:panose1 w:val="020B0503020000020004"/>
    <w:charset w:val="81"/>
    <w:family w:val="auto"/>
    <w:pitch w:val="default"/>
    <w:sig w:usb0="900002AF" w:usb1="01D77CFB" w:usb2="00000012" w:usb3="00000000" w:csb0="0008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balanceSingleByteDoubleByteWidth/>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
  <w:rsids>
    <w:rsidRoot w:val="00271C3A"/>
    <w:rsid w:val="00011B79"/>
    <w:rsid w:val="000158CB"/>
    <w:rsid w:val="000308AC"/>
    <w:rsid w:val="00030D82"/>
    <w:rsid w:val="0004404A"/>
    <w:rsid w:val="000B695C"/>
    <w:rsid w:val="000D1E4B"/>
    <w:rsid w:val="000E4CCF"/>
    <w:rsid w:val="000F0197"/>
    <w:rsid w:val="000F4389"/>
    <w:rsid w:val="000F489A"/>
    <w:rsid w:val="000F6888"/>
    <w:rsid w:val="00134C87"/>
    <w:rsid w:val="00142E3C"/>
    <w:rsid w:val="001636D5"/>
    <w:rsid w:val="00167743"/>
    <w:rsid w:val="00193382"/>
    <w:rsid w:val="001C3CF5"/>
    <w:rsid w:val="001D0A26"/>
    <w:rsid w:val="001E14E9"/>
    <w:rsid w:val="001F506E"/>
    <w:rsid w:val="002300A7"/>
    <w:rsid w:val="00231AAA"/>
    <w:rsid w:val="002478D1"/>
    <w:rsid w:val="00271C3A"/>
    <w:rsid w:val="002B13FD"/>
    <w:rsid w:val="002D3D00"/>
    <w:rsid w:val="002D45D9"/>
    <w:rsid w:val="002D5A14"/>
    <w:rsid w:val="002D6F9E"/>
    <w:rsid w:val="00300E15"/>
    <w:rsid w:val="00332637"/>
    <w:rsid w:val="00343FEF"/>
    <w:rsid w:val="0034648C"/>
    <w:rsid w:val="00346516"/>
    <w:rsid w:val="00371AFF"/>
    <w:rsid w:val="003C0C17"/>
    <w:rsid w:val="003E5D0F"/>
    <w:rsid w:val="003F524B"/>
    <w:rsid w:val="00405ABA"/>
    <w:rsid w:val="00432F06"/>
    <w:rsid w:val="00436526"/>
    <w:rsid w:val="00462B03"/>
    <w:rsid w:val="00470B60"/>
    <w:rsid w:val="00477AB2"/>
    <w:rsid w:val="004C45B2"/>
    <w:rsid w:val="004E6EB2"/>
    <w:rsid w:val="005123B5"/>
    <w:rsid w:val="005261CE"/>
    <w:rsid w:val="00532E85"/>
    <w:rsid w:val="00567EED"/>
    <w:rsid w:val="005861A1"/>
    <w:rsid w:val="00587D47"/>
    <w:rsid w:val="00591213"/>
    <w:rsid w:val="00597624"/>
    <w:rsid w:val="005A4B90"/>
    <w:rsid w:val="005C385C"/>
    <w:rsid w:val="005D0835"/>
    <w:rsid w:val="005E3491"/>
    <w:rsid w:val="005F61E1"/>
    <w:rsid w:val="00606153"/>
    <w:rsid w:val="00614891"/>
    <w:rsid w:val="006265A6"/>
    <w:rsid w:val="00627278"/>
    <w:rsid w:val="006274E0"/>
    <w:rsid w:val="00631BEF"/>
    <w:rsid w:val="006323F4"/>
    <w:rsid w:val="006415D8"/>
    <w:rsid w:val="00666021"/>
    <w:rsid w:val="00692539"/>
    <w:rsid w:val="006A0660"/>
    <w:rsid w:val="006C0566"/>
    <w:rsid w:val="006D0442"/>
    <w:rsid w:val="006D0D2B"/>
    <w:rsid w:val="006E14C6"/>
    <w:rsid w:val="006E778C"/>
    <w:rsid w:val="006F1752"/>
    <w:rsid w:val="006F51AE"/>
    <w:rsid w:val="00736831"/>
    <w:rsid w:val="00746B73"/>
    <w:rsid w:val="00784C3D"/>
    <w:rsid w:val="007B7706"/>
    <w:rsid w:val="007C4CDF"/>
    <w:rsid w:val="007F0238"/>
    <w:rsid w:val="007F60FE"/>
    <w:rsid w:val="00851769"/>
    <w:rsid w:val="00877E1E"/>
    <w:rsid w:val="00881EC2"/>
    <w:rsid w:val="008A2C9B"/>
    <w:rsid w:val="008C7C33"/>
    <w:rsid w:val="008C7D60"/>
    <w:rsid w:val="00903586"/>
    <w:rsid w:val="00907ECD"/>
    <w:rsid w:val="00915447"/>
    <w:rsid w:val="00927557"/>
    <w:rsid w:val="009820EE"/>
    <w:rsid w:val="009914A5"/>
    <w:rsid w:val="009C131E"/>
    <w:rsid w:val="009D06CC"/>
    <w:rsid w:val="009F5FF4"/>
    <w:rsid w:val="00A1166B"/>
    <w:rsid w:val="00A135C3"/>
    <w:rsid w:val="00A21506"/>
    <w:rsid w:val="00A30547"/>
    <w:rsid w:val="00A45599"/>
    <w:rsid w:val="00A46010"/>
    <w:rsid w:val="00A554DD"/>
    <w:rsid w:val="00A57C56"/>
    <w:rsid w:val="00A73DFC"/>
    <w:rsid w:val="00A779CD"/>
    <w:rsid w:val="00A9320E"/>
    <w:rsid w:val="00A966EE"/>
    <w:rsid w:val="00AA2B9A"/>
    <w:rsid w:val="00AA512E"/>
    <w:rsid w:val="00AC7B69"/>
    <w:rsid w:val="00AE1F67"/>
    <w:rsid w:val="00AF1B82"/>
    <w:rsid w:val="00AF7C74"/>
    <w:rsid w:val="00B256B5"/>
    <w:rsid w:val="00B26DE3"/>
    <w:rsid w:val="00B46AA8"/>
    <w:rsid w:val="00B500A1"/>
    <w:rsid w:val="00B672E8"/>
    <w:rsid w:val="00BD2F55"/>
    <w:rsid w:val="00BE478C"/>
    <w:rsid w:val="00BF22B6"/>
    <w:rsid w:val="00BF2C0B"/>
    <w:rsid w:val="00C04B61"/>
    <w:rsid w:val="00C14F2A"/>
    <w:rsid w:val="00C5619F"/>
    <w:rsid w:val="00C8064C"/>
    <w:rsid w:val="00C9630D"/>
    <w:rsid w:val="00CA34A3"/>
    <w:rsid w:val="00CB3414"/>
    <w:rsid w:val="00CC19C2"/>
    <w:rsid w:val="00CC264D"/>
    <w:rsid w:val="00CF09D7"/>
    <w:rsid w:val="00D428D0"/>
    <w:rsid w:val="00D51F5C"/>
    <w:rsid w:val="00D60673"/>
    <w:rsid w:val="00D62FA9"/>
    <w:rsid w:val="00D84D02"/>
    <w:rsid w:val="00DA4068"/>
    <w:rsid w:val="00DF1E8E"/>
    <w:rsid w:val="00E07924"/>
    <w:rsid w:val="00E22985"/>
    <w:rsid w:val="00E403DA"/>
    <w:rsid w:val="00E446DE"/>
    <w:rsid w:val="00E52583"/>
    <w:rsid w:val="00E54B01"/>
    <w:rsid w:val="00E66D1D"/>
    <w:rsid w:val="00E84735"/>
    <w:rsid w:val="00E9275F"/>
    <w:rsid w:val="00EB27A3"/>
    <w:rsid w:val="00ED4547"/>
    <w:rsid w:val="00F24885"/>
    <w:rsid w:val="00F511D2"/>
    <w:rsid w:val="00F74BFE"/>
    <w:rsid w:val="00FA7772"/>
    <w:rsid w:val="00FB1C8C"/>
    <w:rsid w:val="00FD6437"/>
    <w:rsid w:val="00FF1D13"/>
    <w:rsid w:val="01AF5B8E"/>
    <w:rsid w:val="01F4328A"/>
    <w:rsid w:val="0CC23A4F"/>
    <w:rsid w:val="204271A1"/>
    <w:rsid w:val="2E1C28E6"/>
    <w:rsid w:val="38E21EE8"/>
    <w:rsid w:val="3F714F33"/>
    <w:rsid w:val="44F54952"/>
    <w:rsid w:val="519D48B2"/>
    <w:rsid w:val="5BE57163"/>
  </w:rsids>
  <m:mathPr>
    <m:mathFont m:val="Cambria Math"/>
    <m:brkBin m:val="before"/>
    <m:brkBinSub m:val="--"/>
    <m:smallFrac m:val="1"/>
    <m:dispDef/>
    <m:lMargin m:val="1440"/>
    <m:rMargin m:val="144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1" w:semiHidden="0" w:name="Normal"/>
    <w:lsdException w:qFormat="1" w:unhideWhenUsed="0" w:uiPriority="7" w:semiHidden="0" w:name="heading 1"/>
    <w:lsdException w:qFormat="1" w:unhideWhenUsed="0" w:uiPriority="8" w:semiHidden="0" w:name="heading 2"/>
    <w:lsdException w:qFormat="1" w:unhideWhenUsed="0" w:uiPriority="9" w:semiHidden="0" w:name="heading 3"/>
    <w:lsdException w:qFormat="1" w:unhideWhenUsed="0" w:uiPriority="10" w:semiHidden="0" w:name="heading 4"/>
    <w:lsdException w:qFormat="1" w:unhideWhenUsed="0" w:uiPriority="11" w:semiHidden="0" w:name="heading 5"/>
    <w:lsdException w:qFormat="1" w:unhideWhenUsed="0" w:uiPriority="12" w:semiHidden="0" w:name="heading 6"/>
    <w:lsdException w:qFormat="1" w:unhideWhenUsed="0" w:uiPriority="13" w:semiHidden="0" w:name="heading 7"/>
    <w:lsdException w:qFormat="1" w:unhideWhenUsed="0" w:uiPriority="14" w:semiHidden="0" w:name="heading 8"/>
    <w:lsdException w:qFormat="1" w:unhideWhenUsed="0" w:uiPriority="15"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28" w:semiHidden="0" w:name="toc 1"/>
    <w:lsdException w:qFormat="1" w:uiPriority="29" w:semiHidden="0" w:name="toc 2"/>
    <w:lsdException w:qFormat="1" w:uiPriority="30" w:semiHidden="0" w:name="toc 3"/>
    <w:lsdException w:qFormat="1" w:uiPriority="31" w:semiHidden="0" w:name="toc 4"/>
    <w:lsdException w:qFormat="1" w:uiPriority="32" w:semiHidden="0" w:name="toc 5"/>
    <w:lsdException w:qFormat="1" w:uiPriority="33" w:semiHidden="0" w:name="toc 6"/>
    <w:lsdException w:qFormat="1" w:uiPriority="34" w:semiHidden="0" w:name="toc 7"/>
    <w:lsdException w:qFormat="1" w:uiPriority="35" w:semiHidden="0" w:name="toc 8"/>
    <w:lsdException w:qFormat="1" w:uiPriority="36" w:semiHidden="0"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6"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6"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18"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name="Balloon Text"/>
    <w:lsdException w:qFormat="1" w:unhideWhenUsed="0" w:uiPriority="37" w:semiHidden="0" w:name="Table Grid"/>
    <w:lsdException w:uiPriority="99" w:name="Table Theme"/>
    <w:lsdException w:qFormat="1" w:unhideWhenUsed="0" w:uiPriority="0" w:name="Placeholder Text"/>
    <w:lsdException w:qFormat="1" w:unhideWhenUsed="0" w:uiPriority="5"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1" w:semiHidden="0" w:name="Quote"/>
    <w:lsdException w:qFormat="1" w:unhideWhenUsed="0" w:uiPriority="22"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jc w:val="both"/>
    </w:pPr>
    <w:rPr>
      <w:rFonts w:ascii="Calibri" w:hAnsi="Calibri" w:eastAsia="宋体" w:cs="Times New Roman"/>
      <w:sz w:val="21"/>
      <w:szCs w:val="21"/>
      <w:lang w:val="en-US" w:eastAsia="zh-CN" w:bidi="ar-SA"/>
    </w:rPr>
  </w:style>
  <w:style w:type="paragraph" w:styleId="2">
    <w:name w:val="heading 1"/>
    <w:next w:val="1"/>
    <w:qFormat/>
    <w:uiPriority w:val="7"/>
    <w:pPr>
      <w:jc w:val="both"/>
      <w:outlineLvl w:val="0"/>
    </w:pPr>
    <w:rPr>
      <w:rFonts w:ascii="Calibri" w:hAnsi="Calibri" w:eastAsia="宋体" w:cs="Times New Roman"/>
      <w:sz w:val="28"/>
      <w:szCs w:val="28"/>
      <w:lang w:val="en-US" w:eastAsia="zh-CN" w:bidi="ar-SA"/>
    </w:rPr>
  </w:style>
  <w:style w:type="paragraph" w:styleId="3">
    <w:name w:val="heading 2"/>
    <w:basedOn w:val="1"/>
    <w:next w:val="1"/>
    <w:qFormat/>
    <w:uiPriority w:val="8"/>
    <w:pPr>
      <w:jc w:val="both"/>
      <w:outlineLvl w:val="1"/>
    </w:pPr>
    <w:rPr>
      <w:rFonts w:ascii="Calibri" w:hAnsi="Calibri" w:eastAsia="宋体" w:cs="Times New Roman"/>
      <w:sz w:val="21"/>
      <w:szCs w:val="21"/>
      <w:lang w:val="en-US" w:eastAsia="zh-CN" w:bidi="ar-SA"/>
    </w:rPr>
  </w:style>
  <w:style w:type="paragraph" w:styleId="4">
    <w:name w:val="heading 3"/>
    <w:basedOn w:val="1"/>
    <w:next w:val="1"/>
    <w:qFormat/>
    <w:uiPriority w:val="9"/>
    <w:pPr>
      <w:ind w:left="1000" w:hanging="400"/>
      <w:jc w:val="both"/>
      <w:outlineLvl w:val="2"/>
    </w:pPr>
    <w:rPr>
      <w:rFonts w:ascii="Calibri" w:hAnsi="Calibri" w:eastAsia="宋体" w:cs="Times New Roman"/>
      <w:sz w:val="21"/>
      <w:szCs w:val="21"/>
      <w:lang w:val="en-US" w:eastAsia="zh-CN" w:bidi="ar-SA"/>
    </w:rPr>
  </w:style>
  <w:style w:type="paragraph" w:styleId="5">
    <w:name w:val="heading 4"/>
    <w:basedOn w:val="1"/>
    <w:next w:val="1"/>
    <w:qFormat/>
    <w:uiPriority w:val="10"/>
    <w:pPr>
      <w:ind w:left="1200" w:hanging="400"/>
      <w:jc w:val="both"/>
      <w:outlineLvl w:val="3"/>
    </w:pPr>
    <w:rPr>
      <w:rFonts w:ascii="Calibri" w:hAnsi="Calibri" w:eastAsia="宋体" w:cs="Times New Roman"/>
      <w:b/>
      <w:sz w:val="21"/>
      <w:szCs w:val="21"/>
      <w:lang w:val="en-US" w:eastAsia="zh-CN" w:bidi="ar-SA"/>
    </w:rPr>
  </w:style>
  <w:style w:type="paragraph" w:styleId="6">
    <w:name w:val="heading 5"/>
    <w:next w:val="1"/>
    <w:qFormat/>
    <w:uiPriority w:val="11"/>
    <w:pPr>
      <w:ind w:left="1400" w:hanging="400"/>
      <w:jc w:val="both"/>
      <w:outlineLvl w:val="4"/>
    </w:pPr>
    <w:rPr>
      <w:rFonts w:ascii="Calibri" w:hAnsi="Calibri" w:eastAsia="宋体" w:cs="Times New Roman"/>
      <w:sz w:val="21"/>
      <w:szCs w:val="21"/>
      <w:lang w:val="en-US" w:eastAsia="zh-CN" w:bidi="ar-SA"/>
    </w:rPr>
  </w:style>
  <w:style w:type="paragraph" w:styleId="7">
    <w:name w:val="heading 6"/>
    <w:next w:val="1"/>
    <w:qFormat/>
    <w:uiPriority w:val="12"/>
    <w:pPr>
      <w:ind w:left="1600" w:hanging="400"/>
      <w:jc w:val="both"/>
      <w:outlineLvl w:val="5"/>
    </w:pPr>
    <w:rPr>
      <w:rFonts w:ascii="Calibri" w:hAnsi="Calibri" w:eastAsia="宋体" w:cs="Times New Roman"/>
      <w:b/>
      <w:sz w:val="21"/>
      <w:szCs w:val="21"/>
      <w:lang w:val="en-US" w:eastAsia="zh-CN" w:bidi="ar-SA"/>
    </w:rPr>
  </w:style>
  <w:style w:type="paragraph" w:styleId="8">
    <w:name w:val="heading 7"/>
    <w:next w:val="1"/>
    <w:qFormat/>
    <w:uiPriority w:val="13"/>
    <w:pPr>
      <w:ind w:left="1800" w:hanging="400"/>
      <w:jc w:val="both"/>
      <w:outlineLvl w:val="6"/>
    </w:pPr>
    <w:rPr>
      <w:rFonts w:ascii="Calibri" w:hAnsi="Calibri" w:eastAsia="宋体" w:cs="Times New Roman"/>
      <w:sz w:val="21"/>
      <w:szCs w:val="21"/>
      <w:lang w:val="en-US" w:eastAsia="zh-CN" w:bidi="ar-SA"/>
    </w:rPr>
  </w:style>
  <w:style w:type="paragraph" w:styleId="9">
    <w:name w:val="heading 8"/>
    <w:next w:val="1"/>
    <w:qFormat/>
    <w:uiPriority w:val="14"/>
    <w:pPr>
      <w:ind w:left="2000" w:hanging="400"/>
      <w:jc w:val="both"/>
      <w:outlineLvl w:val="7"/>
    </w:pPr>
    <w:rPr>
      <w:rFonts w:ascii="Calibri" w:hAnsi="Calibri" w:eastAsia="宋体" w:cs="Times New Roman"/>
      <w:sz w:val="21"/>
      <w:szCs w:val="21"/>
      <w:lang w:val="en-US" w:eastAsia="zh-CN" w:bidi="ar-SA"/>
    </w:rPr>
  </w:style>
  <w:style w:type="paragraph" w:styleId="10">
    <w:name w:val="heading 9"/>
    <w:next w:val="1"/>
    <w:qFormat/>
    <w:uiPriority w:val="15"/>
    <w:pPr>
      <w:ind w:left="2200" w:hanging="400"/>
      <w:jc w:val="both"/>
      <w:outlineLvl w:val="8"/>
    </w:pPr>
    <w:rPr>
      <w:rFonts w:ascii="Calibri" w:hAnsi="Calibri" w:eastAsia="宋体" w:cs="Times New Roman"/>
      <w:sz w:val="21"/>
      <w:szCs w:val="21"/>
      <w:lang w:val="en-US" w:eastAsia="zh-CN" w:bidi="ar-SA"/>
    </w:rPr>
  </w:style>
  <w:style w:type="character" w:default="1" w:styleId="28">
    <w:name w:val="Default Paragraph Font"/>
    <w:semiHidden/>
    <w:unhideWhenUsed/>
    <w:qFormat/>
    <w:uiPriority w:val="1"/>
  </w:style>
  <w:style w:type="table" w:default="1" w:styleId="26">
    <w:name w:val="Normal Table"/>
    <w:semiHidden/>
    <w:unhideWhenUsed/>
    <w:qFormat/>
    <w:uiPriority w:val="99"/>
    <w:tblPr>
      <w:tblCellMar>
        <w:top w:w="0" w:type="dxa"/>
        <w:left w:w="108" w:type="dxa"/>
        <w:bottom w:w="0" w:type="dxa"/>
        <w:right w:w="108" w:type="dxa"/>
      </w:tblCellMar>
    </w:tblPr>
  </w:style>
  <w:style w:type="paragraph" w:styleId="11">
    <w:name w:val="toc 7"/>
    <w:next w:val="1"/>
    <w:unhideWhenUsed/>
    <w:qFormat/>
    <w:uiPriority w:val="34"/>
    <w:pPr>
      <w:ind w:left="2550"/>
      <w:jc w:val="both"/>
    </w:pPr>
    <w:rPr>
      <w:rFonts w:ascii="Calibri" w:hAnsi="Calibri" w:eastAsia="宋体" w:cs="Times New Roman"/>
      <w:sz w:val="21"/>
      <w:szCs w:val="21"/>
      <w:lang w:val="en-US" w:eastAsia="zh-CN" w:bidi="ar-SA"/>
    </w:rPr>
  </w:style>
  <w:style w:type="paragraph" w:styleId="12">
    <w:name w:val="toc 5"/>
    <w:next w:val="1"/>
    <w:unhideWhenUsed/>
    <w:qFormat/>
    <w:uiPriority w:val="32"/>
    <w:pPr>
      <w:ind w:left="1700"/>
      <w:jc w:val="both"/>
    </w:pPr>
    <w:rPr>
      <w:rFonts w:ascii="Calibri" w:hAnsi="Calibri" w:eastAsia="宋体" w:cs="Times New Roman"/>
      <w:sz w:val="21"/>
      <w:szCs w:val="21"/>
      <w:lang w:val="en-US" w:eastAsia="zh-CN" w:bidi="ar-SA"/>
    </w:rPr>
  </w:style>
  <w:style w:type="paragraph" w:styleId="13">
    <w:name w:val="toc 3"/>
    <w:next w:val="1"/>
    <w:unhideWhenUsed/>
    <w:qFormat/>
    <w:uiPriority w:val="30"/>
    <w:pPr>
      <w:ind w:left="850"/>
      <w:jc w:val="both"/>
    </w:pPr>
    <w:rPr>
      <w:rFonts w:ascii="Calibri" w:hAnsi="Calibri" w:eastAsia="宋体" w:cs="Times New Roman"/>
      <w:sz w:val="21"/>
      <w:szCs w:val="21"/>
      <w:lang w:val="en-US" w:eastAsia="zh-CN" w:bidi="ar-SA"/>
    </w:rPr>
  </w:style>
  <w:style w:type="paragraph" w:styleId="14">
    <w:name w:val="toc 8"/>
    <w:next w:val="1"/>
    <w:unhideWhenUsed/>
    <w:qFormat/>
    <w:uiPriority w:val="35"/>
    <w:pPr>
      <w:ind w:left="2975"/>
      <w:jc w:val="both"/>
    </w:pPr>
    <w:rPr>
      <w:rFonts w:ascii="Calibri" w:hAnsi="Calibri" w:eastAsia="宋体" w:cs="Times New Roman"/>
      <w:sz w:val="21"/>
      <w:szCs w:val="21"/>
      <w:lang w:val="en-US" w:eastAsia="zh-CN" w:bidi="ar-SA"/>
    </w:rPr>
  </w:style>
  <w:style w:type="paragraph" w:styleId="15">
    <w:name w:val="Balloon Text"/>
    <w:basedOn w:val="1"/>
    <w:link w:val="42"/>
    <w:semiHidden/>
    <w:unhideWhenUsed/>
    <w:qFormat/>
    <w:uiPriority w:val="0"/>
    <w:rPr>
      <w:sz w:val="18"/>
      <w:szCs w:val="18"/>
    </w:rPr>
  </w:style>
  <w:style w:type="paragraph" w:styleId="16">
    <w:name w:val="footer"/>
    <w:basedOn w:val="1"/>
    <w:link w:val="45"/>
    <w:unhideWhenUsed/>
    <w:qFormat/>
    <w:uiPriority w:val="99"/>
    <w:pPr>
      <w:tabs>
        <w:tab w:val="center" w:pos="4153"/>
        <w:tab w:val="right" w:pos="8306"/>
      </w:tabs>
      <w:snapToGrid w:val="0"/>
      <w:jc w:val="left"/>
    </w:pPr>
    <w:rPr>
      <w:sz w:val="18"/>
      <w:szCs w:val="18"/>
    </w:rPr>
  </w:style>
  <w:style w:type="paragraph" w:styleId="17">
    <w:name w:val="header"/>
    <w:basedOn w:val="1"/>
    <w:link w:val="44"/>
    <w:unhideWhenUsed/>
    <w:qFormat/>
    <w:uiPriority w:val="99"/>
    <w:pPr>
      <w:pBdr>
        <w:bottom w:val="single" w:color="auto" w:sz="6" w:space="1"/>
      </w:pBdr>
      <w:tabs>
        <w:tab w:val="center" w:pos="4153"/>
        <w:tab w:val="right" w:pos="8306"/>
      </w:tabs>
      <w:snapToGrid w:val="0"/>
      <w:jc w:val="center"/>
    </w:pPr>
    <w:rPr>
      <w:sz w:val="18"/>
      <w:szCs w:val="18"/>
    </w:rPr>
  </w:style>
  <w:style w:type="paragraph" w:styleId="18">
    <w:name w:val="toc 1"/>
    <w:next w:val="1"/>
    <w:unhideWhenUsed/>
    <w:qFormat/>
    <w:uiPriority w:val="28"/>
    <w:pPr>
      <w:jc w:val="both"/>
    </w:pPr>
    <w:rPr>
      <w:rFonts w:ascii="Calibri" w:hAnsi="Calibri" w:eastAsia="宋体" w:cs="Times New Roman"/>
      <w:sz w:val="21"/>
      <w:szCs w:val="21"/>
      <w:lang w:val="en-US" w:eastAsia="zh-CN" w:bidi="ar-SA"/>
    </w:rPr>
  </w:style>
  <w:style w:type="paragraph" w:styleId="19">
    <w:name w:val="toc 4"/>
    <w:next w:val="1"/>
    <w:unhideWhenUsed/>
    <w:qFormat/>
    <w:uiPriority w:val="31"/>
    <w:pPr>
      <w:ind w:left="1275"/>
      <w:jc w:val="both"/>
    </w:pPr>
    <w:rPr>
      <w:rFonts w:ascii="Calibri" w:hAnsi="Calibri" w:eastAsia="宋体" w:cs="Times New Roman"/>
      <w:sz w:val="21"/>
      <w:szCs w:val="21"/>
      <w:lang w:val="en-US" w:eastAsia="zh-CN" w:bidi="ar-SA"/>
    </w:rPr>
  </w:style>
  <w:style w:type="paragraph" w:styleId="20">
    <w:name w:val="Subtitle"/>
    <w:qFormat/>
    <w:uiPriority w:val="16"/>
    <w:pPr>
      <w:jc w:val="center"/>
    </w:pPr>
    <w:rPr>
      <w:rFonts w:ascii="Calibri" w:hAnsi="Calibri" w:eastAsia="宋体" w:cs="Times New Roman"/>
      <w:sz w:val="24"/>
      <w:szCs w:val="24"/>
      <w:lang w:val="en-US" w:eastAsia="zh-CN" w:bidi="ar-SA"/>
    </w:rPr>
  </w:style>
  <w:style w:type="paragraph" w:styleId="21">
    <w:name w:val="toc 6"/>
    <w:next w:val="1"/>
    <w:unhideWhenUsed/>
    <w:qFormat/>
    <w:uiPriority w:val="33"/>
    <w:pPr>
      <w:ind w:left="2125"/>
      <w:jc w:val="both"/>
    </w:pPr>
    <w:rPr>
      <w:rFonts w:ascii="Calibri" w:hAnsi="Calibri" w:eastAsia="宋体" w:cs="Times New Roman"/>
      <w:sz w:val="21"/>
      <w:szCs w:val="21"/>
      <w:lang w:val="en-US" w:eastAsia="zh-CN" w:bidi="ar-SA"/>
    </w:rPr>
  </w:style>
  <w:style w:type="paragraph" w:styleId="22">
    <w:name w:val="toc 2"/>
    <w:next w:val="1"/>
    <w:unhideWhenUsed/>
    <w:qFormat/>
    <w:uiPriority w:val="29"/>
    <w:pPr>
      <w:ind w:left="425"/>
      <w:jc w:val="both"/>
    </w:pPr>
    <w:rPr>
      <w:rFonts w:ascii="Calibri" w:hAnsi="Calibri" w:eastAsia="宋体" w:cs="Times New Roman"/>
      <w:sz w:val="21"/>
      <w:szCs w:val="21"/>
      <w:lang w:val="en-US" w:eastAsia="zh-CN" w:bidi="ar-SA"/>
    </w:rPr>
  </w:style>
  <w:style w:type="paragraph" w:styleId="23">
    <w:name w:val="toc 9"/>
    <w:next w:val="1"/>
    <w:unhideWhenUsed/>
    <w:qFormat/>
    <w:uiPriority w:val="36"/>
    <w:pPr>
      <w:ind w:left="3400"/>
      <w:jc w:val="both"/>
    </w:pPr>
    <w:rPr>
      <w:rFonts w:ascii="Calibri" w:hAnsi="Calibri" w:eastAsia="宋体" w:cs="Times New Roman"/>
      <w:sz w:val="21"/>
      <w:szCs w:val="21"/>
      <w:lang w:val="en-US" w:eastAsia="zh-CN" w:bidi="ar-SA"/>
    </w:rPr>
  </w:style>
  <w:style w:type="paragraph" w:styleId="24">
    <w:name w:val="Normal (Web)"/>
    <w:basedOn w:val="1"/>
    <w:unhideWhenUsed/>
    <w:qFormat/>
    <w:uiPriority w:val="99"/>
    <w:rPr>
      <w:rFonts w:ascii="宋体" w:hAnsi="宋体"/>
      <w:sz w:val="24"/>
      <w:szCs w:val="24"/>
    </w:rPr>
  </w:style>
  <w:style w:type="paragraph" w:styleId="25">
    <w:name w:val="Title"/>
    <w:qFormat/>
    <w:uiPriority w:val="6"/>
    <w:pPr>
      <w:jc w:val="center"/>
    </w:pPr>
    <w:rPr>
      <w:rFonts w:ascii="Calibri" w:hAnsi="Calibri" w:eastAsia="宋体" w:cs="Times New Roman"/>
      <w:b/>
      <w:sz w:val="32"/>
      <w:szCs w:val="32"/>
      <w:lang w:val="en-US" w:eastAsia="zh-CN" w:bidi="ar-SA"/>
    </w:rPr>
  </w:style>
  <w:style w:type="table" w:styleId="27">
    <w:name w:val="Table Grid"/>
    <w:basedOn w:val="26"/>
    <w:qFormat/>
    <w:uiPriority w:val="37"/>
    <w:rPr>
      <w:rFonts w:ascii="宋体" w:hAnsi="宋体" w:eastAsia="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9">
    <w:name w:val="Strong"/>
    <w:qFormat/>
    <w:uiPriority w:val="22"/>
    <w:rPr>
      <w:b/>
      <w:w w:val="100"/>
      <w:sz w:val="21"/>
      <w:szCs w:val="21"/>
      <w:shd w:val="clear" w:color="auto" w:fill="auto"/>
    </w:rPr>
  </w:style>
  <w:style w:type="character" w:styleId="30">
    <w:name w:val="Emphasis"/>
    <w:qFormat/>
    <w:uiPriority w:val="18"/>
    <w:rPr>
      <w:i/>
      <w:w w:val="100"/>
      <w:sz w:val="21"/>
      <w:szCs w:val="21"/>
      <w:shd w:val="clear" w:color="auto" w:fill="auto"/>
    </w:rPr>
  </w:style>
  <w:style w:type="character" w:styleId="31">
    <w:name w:val="Hyperlink"/>
    <w:basedOn w:val="28"/>
    <w:semiHidden/>
    <w:unhideWhenUsed/>
    <w:qFormat/>
    <w:uiPriority w:val="99"/>
    <w:rPr>
      <w:color w:val="0000FF"/>
      <w:u w:val="single"/>
    </w:rPr>
  </w:style>
  <w:style w:type="paragraph" w:styleId="32">
    <w:name w:val="No Spacing"/>
    <w:qFormat/>
    <w:uiPriority w:val="5"/>
    <w:pPr>
      <w:jc w:val="both"/>
    </w:pPr>
    <w:rPr>
      <w:rFonts w:ascii="Calibri" w:hAnsi="Calibri" w:eastAsia="宋体" w:cs="Times New Roman"/>
      <w:sz w:val="21"/>
      <w:szCs w:val="21"/>
      <w:lang w:val="en-US" w:eastAsia="zh-CN" w:bidi="ar-SA"/>
    </w:rPr>
  </w:style>
  <w:style w:type="character" w:customStyle="1" w:styleId="33">
    <w:name w:val="Subtle Emphasis"/>
    <w:qFormat/>
    <w:uiPriority w:val="17"/>
    <w:rPr>
      <w:i/>
      <w:color w:val="404040"/>
      <w:w w:val="100"/>
      <w:sz w:val="21"/>
      <w:szCs w:val="21"/>
      <w:shd w:val="clear" w:color="auto" w:fill="auto"/>
    </w:rPr>
  </w:style>
  <w:style w:type="character" w:customStyle="1" w:styleId="34">
    <w:name w:val="Intense Emphasis"/>
    <w:qFormat/>
    <w:uiPriority w:val="19"/>
    <w:rPr>
      <w:i/>
      <w:color w:val="5B9BD5"/>
      <w:w w:val="100"/>
      <w:sz w:val="21"/>
      <w:szCs w:val="21"/>
      <w:shd w:val="clear" w:color="auto" w:fill="auto"/>
    </w:rPr>
  </w:style>
  <w:style w:type="paragraph" w:styleId="35">
    <w:name w:val="Quote"/>
    <w:qFormat/>
    <w:uiPriority w:val="21"/>
    <w:pPr>
      <w:ind w:left="864" w:right="864"/>
      <w:jc w:val="center"/>
    </w:pPr>
    <w:rPr>
      <w:rFonts w:ascii="Calibri" w:hAnsi="Calibri" w:eastAsia="宋体" w:cs="Times New Roman"/>
      <w:i/>
      <w:color w:val="404040"/>
      <w:sz w:val="21"/>
      <w:szCs w:val="21"/>
      <w:lang w:val="en-US" w:eastAsia="zh-CN" w:bidi="ar-SA"/>
    </w:rPr>
  </w:style>
  <w:style w:type="paragraph" w:styleId="36">
    <w:name w:val="Intense Quote"/>
    <w:qFormat/>
    <w:uiPriority w:val="22"/>
    <w:pPr>
      <w:ind w:left="950" w:right="950"/>
      <w:jc w:val="center"/>
    </w:pPr>
    <w:rPr>
      <w:rFonts w:ascii="Calibri" w:hAnsi="Calibri" w:eastAsia="宋体" w:cs="Times New Roman"/>
      <w:i/>
      <w:color w:val="5B9BD5"/>
      <w:sz w:val="21"/>
      <w:szCs w:val="21"/>
      <w:lang w:val="en-US" w:eastAsia="zh-CN" w:bidi="ar-SA"/>
    </w:rPr>
  </w:style>
  <w:style w:type="character" w:customStyle="1" w:styleId="37">
    <w:name w:val="Subtle Reference"/>
    <w:qFormat/>
    <w:uiPriority w:val="23"/>
    <w:rPr>
      <w:smallCaps/>
      <w:color w:val="5A5A5A"/>
      <w:w w:val="100"/>
      <w:sz w:val="21"/>
      <w:szCs w:val="21"/>
      <w:shd w:val="clear" w:color="auto" w:fill="auto"/>
    </w:rPr>
  </w:style>
  <w:style w:type="character" w:customStyle="1" w:styleId="38">
    <w:name w:val="Intense Reference"/>
    <w:qFormat/>
    <w:uiPriority w:val="24"/>
    <w:rPr>
      <w:b/>
      <w:smallCaps/>
      <w:color w:val="5B9BD5"/>
      <w:w w:val="100"/>
      <w:sz w:val="21"/>
      <w:szCs w:val="21"/>
      <w:shd w:val="clear" w:color="auto" w:fill="auto"/>
    </w:rPr>
  </w:style>
  <w:style w:type="character" w:customStyle="1" w:styleId="39">
    <w:name w:val="Book Title"/>
    <w:qFormat/>
    <w:uiPriority w:val="25"/>
    <w:rPr>
      <w:b/>
      <w:i/>
      <w:w w:val="100"/>
      <w:sz w:val="21"/>
      <w:szCs w:val="21"/>
      <w:shd w:val="clear" w:color="auto" w:fill="auto"/>
    </w:rPr>
  </w:style>
  <w:style w:type="paragraph" w:styleId="40">
    <w:name w:val="List Paragraph"/>
    <w:qFormat/>
    <w:uiPriority w:val="34"/>
    <w:pPr>
      <w:ind w:left="850"/>
      <w:jc w:val="both"/>
    </w:pPr>
    <w:rPr>
      <w:rFonts w:ascii="Calibri" w:hAnsi="Calibri" w:eastAsia="宋体" w:cs="Times New Roman"/>
      <w:sz w:val="21"/>
      <w:szCs w:val="21"/>
      <w:lang w:val="en-US" w:eastAsia="zh-CN" w:bidi="ar-SA"/>
    </w:rPr>
  </w:style>
  <w:style w:type="paragraph" w:customStyle="1" w:styleId="41">
    <w:name w:val="TOC Heading"/>
    <w:unhideWhenUsed/>
    <w:qFormat/>
    <w:uiPriority w:val="27"/>
    <w:rPr>
      <w:rFonts w:ascii="Calibri" w:hAnsi="Calibri" w:eastAsia="宋体" w:cs="Times New Roman"/>
      <w:color w:val="2E74B5"/>
      <w:sz w:val="32"/>
      <w:szCs w:val="32"/>
      <w:lang w:val="en-US" w:eastAsia="zh-CN" w:bidi="ar-SA"/>
    </w:rPr>
  </w:style>
  <w:style w:type="character" w:customStyle="1" w:styleId="42">
    <w:name w:val="批注框文本 Char"/>
    <w:basedOn w:val="28"/>
    <w:link w:val="15"/>
    <w:semiHidden/>
    <w:qFormat/>
    <w:uiPriority w:val="0"/>
    <w:rPr>
      <w:w w:val="100"/>
      <w:sz w:val="18"/>
      <w:szCs w:val="18"/>
      <w:shd w:val="clear" w:color="auto" w:fill="auto"/>
    </w:rPr>
  </w:style>
  <w:style w:type="character" w:styleId="43">
    <w:name w:val="Placeholder Text"/>
    <w:basedOn w:val="28"/>
    <w:semiHidden/>
    <w:qFormat/>
    <w:uiPriority w:val="0"/>
    <w:rPr>
      <w:color w:val="808080"/>
      <w:w w:val="100"/>
      <w:sz w:val="20"/>
      <w:szCs w:val="20"/>
      <w:shd w:val="clear" w:color="auto" w:fill="auto"/>
    </w:rPr>
  </w:style>
  <w:style w:type="character" w:customStyle="1" w:styleId="44">
    <w:name w:val="页眉 Char"/>
    <w:basedOn w:val="28"/>
    <w:link w:val="17"/>
    <w:qFormat/>
    <w:uiPriority w:val="99"/>
    <w:rPr>
      <w:sz w:val="18"/>
      <w:szCs w:val="18"/>
    </w:rPr>
  </w:style>
  <w:style w:type="character" w:customStyle="1" w:styleId="45">
    <w:name w:val="页脚 Char"/>
    <w:basedOn w:val="28"/>
    <w:link w:val="16"/>
    <w:qFormat/>
    <w:uiPriority w:val="99"/>
    <w:rPr>
      <w:sz w:val="18"/>
      <w:szCs w:val="18"/>
    </w:rPr>
  </w:style>
  <w:style w:type="character" w:customStyle="1" w:styleId="46">
    <w:name w:val="apple-converted-space"/>
    <w:basedOn w:val="28"/>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chart" Target="charts/chart1.xml"/><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商业项目成交量对比</a:t>
            </a:r>
            <a:endParaRPr b="1"/>
          </a:p>
        </c:rich>
      </c:tx>
      <c:layout/>
      <c:overlay val="0"/>
      <c:spPr>
        <a:noFill/>
        <a:ln>
          <a:noFill/>
        </a:ln>
        <a:effectLst/>
      </c:spPr>
    </c:title>
    <c:autoTitleDeleted val="0"/>
    <c:plotArea>
      <c:layout>
        <c:manualLayout>
          <c:layoutTarget val="inner"/>
          <c:xMode val="edge"/>
          <c:yMode val="edge"/>
          <c:x val="0.0787"/>
          <c:y val="0.127"/>
          <c:w val="0.8938"/>
          <c:h val="0.7169"/>
        </c:manualLayout>
      </c:layout>
      <c:barChart>
        <c:barDir val="col"/>
        <c:grouping val="stacked"/>
        <c:varyColors val="0"/>
        <c:ser>
          <c:idx val="0"/>
          <c:order val="0"/>
          <c:tx>
            <c:strRef>
              <c:f>Sheet1!$B$1</c:f>
              <c:strCache>
                <c:ptCount val="1"/>
                <c:pt idx="0">
                  <c:v>一手商业（含商务公寓）</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400" b="1"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2018年9-12月</c:v>
                </c:pt>
                <c:pt idx="1">
                  <c:v>2019年9-12月</c:v>
                </c:pt>
              </c:strCache>
            </c:strRef>
          </c:cat>
          <c:val>
            <c:numRef>
              <c:f>Sheet1!$B$2:$B$3</c:f>
              <c:numCache>
                <c:formatCode>General</c:formatCode>
                <c:ptCount val="2"/>
                <c:pt idx="0">
                  <c:v>5009</c:v>
                </c:pt>
                <c:pt idx="1">
                  <c:v>6643</c:v>
                </c:pt>
              </c:numCache>
            </c:numRef>
          </c:val>
        </c:ser>
        <c:ser>
          <c:idx val="1"/>
          <c:order val="1"/>
          <c:tx>
            <c:strRef>
              <c:f>Sheet1!$C$1</c:f>
              <c:strCache>
                <c:ptCount val="1"/>
                <c:pt idx="0">
                  <c:v>二手商业（含商务公寓）</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400" b="1"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2018年9-12月</c:v>
                </c:pt>
                <c:pt idx="1">
                  <c:v>2019年9-12月</c:v>
                </c:pt>
              </c:strCache>
            </c:strRef>
          </c:cat>
          <c:val>
            <c:numRef>
              <c:f>Sheet1!$C$2:$C$3</c:f>
              <c:numCache>
                <c:formatCode>General</c:formatCode>
                <c:ptCount val="2"/>
                <c:pt idx="0">
                  <c:v>1514</c:v>
                </c:pt>
                <c:pt idx="1">
                  <c:v>1475</c:v>
                </c:pt>
              </c:numCache>
            </c:numRef>
          </c:val>
        </c:ser>
        <c:ser>
          <c:idx val="2"/>
          <c:order val="2"/>
          <c:tx>
            <c:strRef>
              <c:f>Sheet1!#REF!</c:f>
              <c:strCache>
                <c:ptCount val="1"/>
                <c:pt idx="0">
                  <c:v/>
                </c:pt>
              </c:strCache>
            </c:strRef>
          </c:tx>
          <c:spPr>
            <a:solidFill>
              <a:schemeClr val="accent3"/>
            </a:solidFill>
            <a:ln>
              <a:noFill/>
            </a:ln>
            <a:effectLst/>
          </c:spPr>
          <c:invertIfNegative val="0"/>
          <c:dLbls>
            <c:delete val="1"/>
          </c:dLbls>
          <c:cat>
            <c:strRef>
              <c:f>Sheet1!$A$2:$A$3</c:f>
              <c:strCache>
                <c:ptCount val="2"/>
                <c:pt idx="0">
                  <c:v>2018年9-12月</c:v>
                </c:pt>
                <c:pt idx="1">
                  <c:v>2019年9-12月</c:v>
                </c:pt>
              </c:strCache>
            </c:strRef>
          </c:cat>
          <c:val>
            <c:numRef>
              <c:f>Sheet1!#REF!</c:f>
              <c:numCache>
                <c:formatCode>General</c:formatCode>
                <c:ptCount val="1"/>
                <c:pt idx="0">
                  <c:v>1</c:v>
                </c:pt>
              </c:numCache>
            </c:numRef>
          </c:val>
        </c:ser>
        <c:dLbls>
          <c:showLegendKey val="0"/>
          <c:showVal val="0"/>
          <c:showCatName val="0"/>
          <c:showSerName val="0"/>
          <c:showPercent val="0"/>
          <c:showBubbleSize val="0"/>
        </c:dLbls>
        <c:gapWidth val="150"/>
        <c:overlap val="100"/>
        <c:axId val="326460863"/>
        <c:axId val="311141089"/>
      </c:barChart>
      <c:catAx>
        <c:axId val="326460863"/>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1200" b="1" i="0" u="none" strike="noStrike" kern="1200" baseline="0">
                <a:solidFill>
                  <a:schemeClr val="tx1">
                    <a:lumMod val="65000"/>
                    <a:lumOff val="35000"/>
                  </a:schemeClr>
                </a:solidFill>
                <a:latin typeface="+mn-lt"/>
                <a:ea typeface="+mn-ea"/>
                <a:cs typeface="+mn-cs"/>
              </a:defRPr>
            </a:pPr>
          </a:p>
        </c:txPr>
        <c:crossAx val="311141089"/>
        <c:crosses val="autoZero"/>
        <c:auto val="1"/>
        <c:lblAlgn val="ctr"/>
        <c:lblOffset val="100"/>
        <c:noMultiLvlLbl val="0"/>
      </c:catAx>
      <c:valAx>
        <c:axId val="311141089"/>
        <c:scaling>
          <c:orientation val="minMax"/>
        </c:scaling>
        <c:delete val="0"/>
        <c:axPos val="l"/>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1400" b="0" i="0" u="none" strike="noStrike" kern="1200" baseline="0">
                <a:solidFill>
                  <a:schemeClr val="tx1">
                    <a:lumMod val="65000"/>
                    <a:lumOff val="35000"/>
                  </a:schemeClr>
                </a:solidFill>
                <a:latin typeface="+mn-lt"/>
                <a:ea typeface="+mn-ea"/>
                <a:cs typeface="+mn-cs"/>
              </a:defRPr>
            </a:pPr>
          </a:p>
        </c:txPr>
        <c:crossAx val="326460863"/>
        <c:crosses val="autoZero"/>
        <c:crossBetween val="between"/>
      </c:valAx>
      <c:spPr>
        <a:noFill/>
        <a:ln>
          <a:noFill/>
        </a:ln>
        <a:effectLst/>
      </c:spPr>
    </c:plotArea>
    <c:legend>
      <c:legendPos val="b"/>
      <c:legendEntry>
        <c:idx val="0"/>
        <c:txPr>
          <a:bodyPr rot="0" spcFirstLastPara="0" vertOverflow="ellipsis" vert="horz" wrap="square" anchor="ctr" anchorCtr="1"/>
          <a:lstStyle/>
          <a:p>
            <a:pPr>
              <a:defRPr lang="zh-CN" sz="10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1000" b="0" i="0" u="none" strike="noStrike" kern="1200" baseline="0">
                <a:solidFill>
                  <a:schemeClr val="tx1">
                    <a:lumMod val="65000"/>
                    <a:lumOff val="35000"/>
                  </a:schemeClr>
                </a:solidFill>
                <a:latin typeface="+mn-lt"/>
                <a:ea typeface="+mn-ea"/>
                <a:cs typeface="+mn-cs"/>
              </a:defRPr>
            </a:pPr>
          </a:p>
        </c:txPr>
      </c:legendEntry>
      <c:legendEntry>
        <c:idx val="2"/>
        <c:delete val="1"/>
      </c:legendEntry>
      <c:layout>
        <c:manualLayout>
          <c:xMode val="edge"/>
          <c:yMode val="edge"/>
          <c:x val="0.1985625"/>
          <c:y val="0.908333333333334"/>
        </c:manualLayout>
      </c:layout>
      <c:overlay val="0"/>
      <c:spPr>
        <a:noFill/>
        <a:ln>
          <a:noFill/>
        </a:ln>
        <a:effectLst/>
      </c:spPr>
      <c:txPr>
        <a:bodyPr rot="0" spcFirstLastPara="0" vertOverflow="ellipsis" vert="horz" wrap="square" anchor="ctr" anchorCtr="1"/>
        <a:lstStyle/>
        <a:p>
          <a:pPr>
            <a:defRPr lang="zh-CN" sz="10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黑体"/>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宋体"/>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6083D99-012C-41AF-BA0A-DED9F2F39AA4}">
  <ds:schemaRefs/>
</ds:datastoreItem>
</file>

<file path=docProps/app.xml><?xml version="1.0" encoding="utf-8"?>
<Properties xmlns="http://schemas.openxmlformats.org/officeDocument/2006/extended-properties" xmlns:vt="http://schemas.openxmlformats.org/officeDocument/2006/docPropsVTypes">
  <Template>Normal</Template>
  <Pages>1</Pages>
  <Words>210</Words>
  <Characters>1200</Characters>
  <Lines>10</Lines>
  <Paragraphs>2</Paragraphs>
  <TotalTime>0</TotalTime>
  <ScaleCrop>false</ScaleCrop>
  <LinksUpToDate>false</LinksUpToDate>
  <CharactersWithSpaces>1408</CharactersWithSpaces>
  <Application>WPS Office_11.1.0.9329_F1E327BC-269C-435d-A152-05C5408002CA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2019-09-09T05:46:00Z</dcterms:created>
  <dc:creator>huah</dc:creator>
  <cp:lastModifiedBy>huah</cp:lastModifiedBy>
  <cp:lastPrinted>2019-12-04T01:19:00Z</cp:lastPrinted>
  <dcterms:modified xsi:type="dcterms:W3CDTF">2020-01-10T08:30:26Z</dcterms:modified>
  <cp:revision>87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2052-11.1.0.9329</vt:lpwstr>
  </property>
</Properties>
</file>